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73F2" w14:textId="77777777" w:rsidR="00A95937" w:rsidRPr="00A95937" w:rsidRDefault="00A95937" w:rsidP="00A95937">
      <w:pPr>
        <w:jc w:val="center"/>
        <w:rPr>
          <w:rFonts w:ascii="Times New Roman" w:hAnsi="Times New Roman" w:cs="Times New Roman"/>
          <w:b/>
          <w:bCs/>
          <w:sz w:val="24"/>
          <w:szCs w:val="24"/>
        </w:rPr>
      </w:pPr>
      <w:r w:rsidRPr="00A95937">
        <w:rPr>
          <w:rFonts w:ascii="Times New Roman" w:hAnsi="Times New Roman" w:cs="Times New Roman"/>
          <w:b/>
          <w:bCs/>
          <w:sz w:val="24"/>
          <w:szCs w:val="24"/>
        </w:rPr>
        <w:t>Казахский национальный университет им. аль-Фараби</w:t>
      </w:r>
    </w:p>
    <w:p w14:paraId="1BF0DB9D" w14:textId="024B2EC1" w:rsidR="00A95937" w:rsidRPr="00A95937" w:rsidRDefault="00A95937" w:rsidP="00A95937">
      <w:pPr>
        <w:jc w:val="center"/>
        <w:rPr>
          <w:rFonts w:ascii="Times New Roman" w:hAnsi="Times New Roman" w:cs="Times New Roman"/>
          <w:b/>
          <w:bCs/>
          <w:sz w:val="24"/>
          <w:szCs w:val="24"/>
        </w:rPr>
      </w:pPr>
      <w:r w:rsidRPr="00A95937">
        <w:rPr>
          <w:rFonts w:ascii="Times New Roman" w:hAnsi="Times New Roman" w:cs="Times New Roman"/>
          <w:b/>
          <w:bCs/>
          <w:sz w:val="24"/>
          <w:szCs w:val="24"/>
        </w:rPr>
        <w:t>Факультет биологии и биотехнологии</w:t>
      </w:r>
    </w:p>
    <w:p w14:paraId="45635E51" w14:textId="2F8EFE6C" w:rsidR="002520F5" w:rsidRDefault="00A95937" w:rsidP="00A95937">
      <w:pPr>
        <w:jc w:val="center"/>
        <w:rPr>
          <w:rFonts w:ascii="Times New Roman" w:hAnsi="Times New Roman" w:cs="Times New Roman"/>
          <w:b/>
          <w:bCs/>
          <w:sz w:val="24"/>
          <w:szCs w:val="24"/>
        </w:rPr>
      </w:pPr>
      <w:r w:rsidRPr="00A95937">
        <w:rPr>
          <w:rFonts w:ascii="Times New Roman" w:hAnsi="Times New Roman" w:cs="Times New Roman"/>
          <w:b/>
          <w:bCs/>
          <w:sz w:val="24"/>
          <w:szCs w:val="24"/>
        </w:rPr>
        <w:t>Кафедра биотехнологии</w:t>
      </w:r>
    </w:p>
    <w:p w14:paraId="1BC337FF" w14:textId="2B480568" w:rsidR="00A95937" w:rsidRDefault="00A95937" w:rsidP="00A95937">
      <w:pPr>
        <w:jc w:val="center"/>
        <w:rPr>
          <w:rFonts w:ascii="Times New Roman" w:hAnsi="Times New Roman" w:cs="Times New Roman"/>
          <w:b/>
          <w:bCs/>
          <w:sz w:val="24"/>
          <w:szCs w:val="24"/>
        </w:rPr>
      </w:pPr>
    </w:p>
    <w:p w14:paraId="05044379" w14:textId="2EED2D53" w:rsidR="00A95937" w:rsidRDefault="00A95937" w:rsidP="00A95937">
      <w:pPr>
        <w:jc w:val="center"/>
        <w:rPr>
          <w:rFonts w:ascii="Times New Roman" w:hAnsi="Times New Roman" w:cs="Times New Roman"/>
          <w:b/>
          <w:bCs/>
          <w:sz w:val="24"/>
          <w:szCs w:val="24"/>
        </w:rPr>
      </w:pPr>
    </w:p>
    <w:p w14:paraId="5BF09846" w14:textId="380EAE71" w:rsidR="00A95937" w:rsidRDefault="00A95937" w:rsidP="00A95937">
      <w:pPr>
        <w:jc w:val="center"/>
        <w:rPr>
          <w:rFonts w:ascii="Times New Roman" w:hAnsi="Times New Roman" w:cs="Times New Roman"/>
          <w:b/>
          <w:bCs/>
          <w:sz w:val="24"/>
          <w:szCs w:val="24"/>
        </w:rPr>
      </w:pPr>
    </w:p>
    <w:p w14:paraId="2646E5F1" w14:textId="08F00D92" w:rsidR="00A95937" w:rsidRDefault="00A95937" w:rsidP="00A95937">
      <w:pPr>
        <w:jc w:val="center"/>
        <w:rPr>
          <w:rFonts w:ascii="Times New Roman" w:hAnsi="Times New Roman" w:cs="Times New Roman"/>
          <w:b/>
          <w:bCs/>
          <w:sz w:val="24"/>
          <w:szCs w:val="24"/>
        </w:rPr>
      </w:pPr>
    </w:p>
    <w:p w14:paraId="7C45444C" w14:textId="085A0289" w:rsidR="00A95937" w:rsidRDefault="00A95937" w:rsidP="00A95937">
      <w:pPr>
        <w:jc w:val="center"/>
        <w:rPr>
          <w:rFonts w:ascii="Times New Roman" w:hAnsi="Times New Roman" w:cs="Times New Roman"/>
          <w:b/>
          <w:bCs/>
          <w:sz w:val="24"/>
          <w:szCs w:val="24"/>
        </w:rPr>
      </w:pPr>
    </w:p>
    <w:p w14:paraId="001FFD0B" w14:textId="663B361B" w:rsidR="00A95937" w:rsidRDefault="00A95937" w:rsidP="00A95937">
      <w:pPr>
        <w:jc w:val="center"/>
        <w:rPr>
          <w:rFonts w:ascii="Times New Roman" w:hAnsi="Times New Roman" w:cs="Times New Roman"/>
          <w:b/>
          <w:bCs/>
          <w:sz w:val="24"/>
          <w:szCs w:val="24"/>
        </w:rPr>
      </w:pPr>
    </w:p>
    <w:p w14:paraId="7B54DA8A" w14:textId="16F653D0" w:rsidR="009D0195" w:rsidRPr="009D0195" w:rsidRDefault="00A95937" w:rsidP="009D0195">
      <w:pPr>
        <w:jc w:val="center"/>
        <w:rPr>
          <w:rFonts w:ascii="Times New Roman" w:hAnsi="Times New Roman" w:cs="Times New Roman"/>
          <w:b/>
          <w:bCs/>
          <w:sz w:val="24"/>
          <w:szCs w:val="24"/>
          <w:lang w:val="kk-KZ"/>
        </w:rPr>
      </w:pPr>
      <w:r w:rsidRPr="009D0195">
        <w:rPr>
          <w:rFonts w:ascii="Times New Roman" w:hAnsi="Times New Roman" w:cs="Times New Roman"/>
          <w:b/>
          <w:sz w:val="24"/>
          <w:szCs w:val="24"/>
        </w:rPr>
        <w:t>Итоговая экзаменационная программа по предмету</w:t>
      </w:r>
      <w:r w:rsidR="009D0195" w:rsidRPr="009D0195">
        <w:rPr>
          <w:rFonts w:ascii="Times New Roman" w:hAnsi="Times New Roman" w:cs="Times New Roman"/>
          <w:b/>
          <w:bCs/>
          <w:sz w:val="24"/>
          <w:szCs w:val="24"/>
          <w:shd w:val="clear" w:color="auto" w:fill="FFFFFF"/>
        </w:rPr>
        <w:t xml:space="preserve"> </w:t>
      </w:r>
      <w:r w:rsidR="00E04FCC">
        <w:rPr>
          <w:rFonts w:ascii="Times New Roman" w:hAnsi="Times New Roman" w:cs="Times New Roman"/>
          <w:b/>
          <w:bCs/>
          <w:sz w:val="24"/>
          <w:szCs w:val="24"/>
          <w:shd w:val="clear" w:color="auto" w:fill="FFFFFF"/>
          <w:lang w:val="en-US"/>
        </w:rPr>
        <w:t>EBNE</w:t>
      </w:r>
      <w:r w:rsidR="00E04FCC" w:rsidRPr="00E04FCC">
        <w:rPr>
          <w:rFonts w:ascii="Times New Roman" w:hAnsi="Times New Roman" w:cs="Times New Roman"/>
          <w:b/>
          <w:bCs/>
          <w:sz w:val="24"/>
          <w:szCs w:val="24"/>
          <w:shd w:val="clear" w:color="auto" w:fill="FFFFFF"/>
          <w:lang w:val="ru-RU"/>
        </w:rPr>
        <w:t xml:space="preserve">7302 </w:t>
      </w:r>
      <w:r w:rsidR="009D0195" w:rsidRPr="009D0195">
        <w:rPr>
          <w:rFonts w:ascii="Times New Roman" w:hAnsi="Times New Roman" w:cs="Times New Roman"/>
          <w:b/>
          <w:bCs/>
          <w:sz w:val="24"/>
          <w:szCs w:val="24"/>
          <w:shd w:val="clear" w:color="auto" w:fill="FFFFFF"/>
          <w:lang w:val="ru-RU"/>
        </w:rPr>
        <w:t>«</w:t>
      </w:r>
      <w:proofErr w:type="spellStart"/>
      <w:r w:rsidR="009D0195" w:rsidRPr="009D0195">
        <w:rPr>
          <w:rFonts w:ascii="Times New Roman" w:hAnsi="Times New Roman" w:cs="Times New Roman"/>
          <w:b/>
          <w:bCs/>
          <w:sz w:val="24"/>
          <w:szCs w:val="24"/>
          <w:shd w:val="clear" w:color="auto" w:fill="FFFFFF"/>
        </w:rPr>
        <w:t>Экотоксикологический</w:t>
      </w:r>
      <w:proofErr w:type="spellEnd"/>
      <w:r w:rsidR="009D0195" w:rsidRPr="009D0195">
        <w:rPr>
          <w:rFonts w:ascii="Times New Roman" w:hAnsi="Times New Roman" w:cs="Times New Roman"/>
          <w:b/>
          <w:bCs/>
          <w:sz w:val="24"/>
          <w:szCs w:val="24"/>
          <w:shd w:val="clear" w:color="auto" w:fill="FFFFFF"/>
        </w:rPr>
        <w:t xml:space="preserve"> биомониторинг нарушенных экосистем</w:t>
      </w:r>
      <w:r w:rsidR="009D0195" w:rsidRPr="009D0195">
        <w:rPr>
          <w:rFonts w:ascii="Times New Roman" w:hAnsi="Times New Roman" w:cs="Times New Roman"/>
          <w:b/>
          <w:bCs/>
          <w:sz w:val="24"/>
          <w:szCs w:val="24"/>
          <w:lang w:val="kk-KZ"/>
        </w:rPr>
        <w:t xml:space="preserve">» </w:t>
      </w:r>
    </w:p>
    <w:p w14:paraId="3C53E14E" w14:textId="64D97B8B" w:rsidR="00A95937" w:rsidRPr="009D0195" w:rsidRDefault="009D0195" w:rsidP="009D0195">
      <w:pPr>
        <w:jc w:val="center"/>
        <w:rPr>
          <w:rFonts w:ascii="Times New Roman" w:hAnsi="Times New Roman" w:cs="Times New Roman"/>
          <w:b/>
          <w:sz w:val="24"/>
          <w:szCs w:val="24"/>
        </w:rPr>
      </w:pPr>
      <w:r w:rsidRPr="009D0195">
        <w:rPr>
          <w:rFonts w:ascii="Times New Roman" w:hAnsi="Times New Roman" w:cs="Times New Roman"/>
          <w:b/>
          <w:sz w:val="24"/>
          <w:szCs w:val="24"/>
        </w:rPr>
        <w:t>Образовательная программа «</w:t>
      </w:r>
      <w:r w:rsidRPr="009D0195">
        <w:rPr>
          <w:rFonts w:ascii="Times New Roman" w:hAnsi="Times New Roman" w:cs="Times New Roman"/>
          <w:b/>
          <w:bCs/>
          <w:sz w:val="24"/>
          <w:szCs w:val="24"/>
          <w:shd w:val="clear" w:color="auto" w:fill="FFFFFF"/>
        </w:rPr>
        <w:t>8D05112 - Экологическая биоинженерия</w:t>
      </w:r>
      <w:r w:rsidR="00A95937" w:rsidRPr="009D0195">
        <w:rPr>
          <w:rFonts w:ascii="Times New Roman" w:hAnsi="Times New Roman" w:cs="Times New Roman"/>
          <w:b/>
          <w:sz w:val="24"/>
          <w:szCs w:val="24"/>
        </w:rPr>
        <w:t>»</w:t>
      </w:r>
    </w:p>
    <w:p w14:paraId="78F745AC" w14:textId="77777777" w:rsidR="00A95937" w:rsidRPr="009D0195" w:rsidRDefault="00A95937" w:rsidP="00A95937">
      <w:pPr>
        <w:pStyle w:val="a3"/>
        <w:spacing w:before="4"/>
        <w:ind w:left="0"/>
        <w:jc w:val="center"/>
        <w:rPr>
          <w:rFonts w:ascii="Times New Roman" w:hAnsi="Times New Roman" w:cs="Times New Roman"/>
          <w:b/>
        </w:rPr>
      </w:pPr>
    </w:p>
    <w:p w14:paraId="4138DD9B" w14:textId="77777777" w:rsidR="00A95937" w:rsidRPr="009D0195" w:rsidRDefault="00A95937" w:rsidP="00A95937">
      <w:pPr>
        <w:pStyle w:val="a3"/>
        <w:spacing w:before="4"/>
        <w:ind w:left="0"/>
        <w:jc w:val="center"/>
        <w:rPr>
          <w:rFonts w:ascii="Times New Roman" w:hAnsi="Times New Roman" w:cs="Times New Roman"/>
          <w:b/>
        </w:rPr>
      </w:pPr>
    </w:p>
    <w:p w14:paraId="66C3432A" w14:textId="77777777" w:rsidR="00A95937" w:rsidRPr="009D0195" w:rsidRDefault="00A95937" w:rsidP="00A95937">
      <w:pPr>
        <w:ind w:left="2173"/>
        <w:rPr>
          <w:rFonts w:ascii="Times New Roman" w:hAnsi="Times New Roman" w:cs="Times New Roman"/>
          <w:b/>
          <w:sz w:val="24"/>
          <w:szCs w:val="24"/>
        </w:rPr>
      </w:pPr>
      <w:r w:rsidRPr="009D0195">
        <w:rPr>
          <w:rFonts w:ascii="Times New Roman" w:hAnsi="Times New Roman" w:cs="Times New Roman"/>
          <w:b/>
          <w:sz w:val="24"/>
          <w:szCs w:val="24"/>
        </w:rPr>
        <w:t xml:space="preserve">                     </w:t>
      </w:r>
    </w:p>
    <w:p w14:paraId="6BF485D6" w14:textId="77777777" w:rsidR="00A95937" w:rsidRPr="009D0195" w:rsidRDefault="00A95937" w:rsidP="00A95937">
      <w:pPr>
        <w:ind w:left="2124" w:firstLine="708"/>
        <w:rPr>
          <w:rFonts w:ascii="Times New Roman" w:eastAsia="Times New Roman" w:hAnsi="Times New Roman" w:cs="Times New Roman"/>
          <w:sz w:val="24"/>
          <w:szCs w:val="24"/>
        </w:rPr>
      </w:pPr>
      <w:r w:rsidRPr="009D0195">
        <w:rPr>
          <w:rFonts w:ascii="Times New Roman" w:eastAsia="Times New Roman" w:hAnsi="Times New Roman" w:cs="Times New Roman"/>
          <w:sz w:val="24"/>
          <w:szCs w:val="24"/>
        </w:rPr>
        <w:t>Курс – 1</w:t>
      </w:r>
    </w:p>
    <w:p w14:paraId="1EBF4BF2" w14:textId="77777777" w:rsidR="00A95937" w:rsidRPr="009D0195" w:rsidRDefault="00A95937" w:rsidP="00A95937">
      <w:pPr>
        <w:ind w:left="2124" w:firstLine="708"/>
        <w:rPr>
          <w:rFonts w:ascii="Times New Roman" w:eastAsia="Times New Roman" w:hAnsi="Times New Roman" w:cs="Times New Roman"/>
          <w:sz w:val="24"/>
          <w:szCs w:val="24"/>
        </w:rPr>
      </w:pPr>
      <w:r w:rsidRPr="009D0195">
        <w:rPr>
          <w:rFonts w:ascii="Times New Roman" w:eastAsia="Times New Roman" w:hAnsi="Times New Roman" w:cs="Times New Roman"/>
          <w:sz w:val="24"/>
          <w:szCs w:val="24"/>
        </w:rPr>
        <w:t>Семестр – 1</w:t>
      </w:r>
    </w:p>
    <w:p w14:paraId="2BD1374A" w14:textId="6C5A63A0" w:rsidR="00A95937" w:rsidRPr="009D0195" w:rsidRDefault="00A95937" w:rsidP="00A95937">
      <w:pPr>
        <w:ind w:left="2124" w:firstLine="708"/>
        <w:rPr>
          <w:rFonts w:ascii="Times New Roman" w:eastAsia="Times New Roman" w:hAnsi="Times New Roman" w:cs="Times New Roman"/>
          <w:sz w:val="24"/>
          <w:szCs w:val="24"/>
          <w:lang w:val="ru-RU"/>
        </w:rPr>
      </w:pPr>
      <w:r w:rsidRPr="009D0195">
        <w:rPr>
          <w:rFonts w:ascii="Times New Roman" w:eastAsia="Times New Roman" w:hAnsi="Times New Roman" w:cs="Times New Roman"/>
          <w:sz w:val="24"/>
          <w:szCs w:val="24"/>
        </w:rPr>
        <w:t xml:space="preserve">Кредит – </w:t>
      </w:r>
      <w:r w:rsidR="009D0195" w:rsidRPr="009D0195">
        <w:rPr>
          <w:rFonts w:ascii="Times New Roman" w:eastAsia="Times New Roman" w:hAnsi="Times New Roman" w:cs="Times New Roman"/>
          <w:sz w:val="24"/>
          <w:szCs w:val="24"/>
          <w:lang w:val="ru-RU"/>
        </w:rPr>
        <w:t>5</w:t>
      </w:r>
    </w:p>
    <w:p w14:paraId="1442EA73" w14:textId="77777777" w:rsidR="00A95937" w:rsidRPr="009D0195" w:rsidRDefault="00A95937" w:rsidP="00A95937">
      <w:pPr>
        <w:jc w:val="center"/>
        <w:rPr>
          <w:rFonts w:ascii="Times New Roman" w:eastAsia="Times New Roman" w:hAnsi="Times New Roman" w:cs="Times New Roman"/>
          <w:sz w:val="24"/>
          <w:szCs w:val="24"/>
        </w:rPr>
      </w:pPr>
    </w:p>
    <w:p w14:paraId="0897A2F9" w14:textId="371F2587" w:rsidR="00A95937" w:rsidRDefault="00A95937" w:rsidP="00A95937">
      <w:pPr>
        <w:jc w:val="center"/>
        <w:rPr>
          <w:rFonts w:ascii="Times New Roman" w:hAnsi="Times New Roman" w:cs="Times New Roman"/>
          <w:b/>
          <w:bCs/>
          <w:sz w:val="24"/>
          <w:szCs w:val="24"/>
        </w:rPr>
      </w:pPr>
    </w:p>
    <w:p w14:paraId="40EF81C3" w14:textId="3F51E7E3" w:rsidR="00A95937" w:rsidRDefault="00A95937" w:rsidP="00A95937">
      <w:pPr>
        <w:jc w:val="center"/>
        <w:rPr>
          <w:rFonts w:ascii="Times New Roman" w:hAnsi="Times New Roman" w:cs="Times New Roman"/>
          <w:b/>
          <w:bCs/>
          <w:sz w:val="24"/>
          <w:szCs w:val="24"/>
        </w:rPr>
      </w:pPr>
    </w:p>
    <w:p w14:paraId="4439C555" w14:textId="77542DDC" w:rsidR="00A95937" w:rsidRDefault="00A95937" w:rsidP="00A95937">
      <w:pPr>
        <w:jc w:val="center"/>
        <w:rPr>
          <w:rFonts w:ascii="Times New Roman" w:hAnsi="Times New Roman" w:cs="Times New Roman"/>
          <w:b/>
          <w:bCs/>
          <w:sz w:val="24"/>
          <w:szCs w:val="24"/>
        </w:rPr>
      </w:pPr>
    </w:p>
    <w:p w14:paraId="737044E8" w14:textId="35107F61" w:rsidR="00A95937" w:rsidRDefault="00A95937" w:rsidP="00A95937">
      <w:pPr>
        <w:jc w:val="center"/>
        <w:rPr>
          <w:rFonts w:ascii="Times New Roman" w:hAnsi="Times New Roman" w:cs="Times New Roman"/>
          <w:b/>
          <w:bCs/>
          <w:sz w:val="24"/>
          <w:szCs w:val="24"/>
        </w:rPr>
      </w:pPr>
    </w:p>
    <w:p w14:paraId="54F372E5" w14:textId="1A8BA00C" w:rsidR="00A95937" w:rsidRDefault="00A95937" w:rsidP="00A95937">
      <w:pPr>
        <w:jc w:val="center"/>
        <w:rPr>
          <w:rFonts w:ascii="Times New Roman" w:hAnsi="Times New Roman" w:cs="Times New Roman"/>
          <w:b/>
          <w:bCs/>
          <w:sz w:val="24"/>
          <w:szCs w:val="24"/>
        </w:rPr>
      </w:pPr>
    </w:p>
    <w:p w14:paraId="7987B290" w14:textId="65DA4615" w:rsidR="00A95937" w:rsidRDefault="00A95937" w:rsidP="00A95937">
      <w:pPr>
        <w:jc w:val="center"/>
        <w:rPr>
          <w:rFonts w:ascii="Times New Roman" w:hAnsi="Times New Roman" w:cs="Times New Roman"/>
          <w:b/>
          <w:bCs/>
          <w:sz w:val="24"/>
          <w:szCs w:val="24"/>
        </w:rPr>
      </w:pPr>
    </w:p>
    <w:p w14:paraId="01BF7291" w14:textId="289ADD79" w:rsidR="00A95937" w:rsidRDefault="00A95937" w:rsidP="00A95937">
      <w:pPr>
        <w:jc w:val="center"/>
        <w:rPr>
          <w:rFonts w:ascii="Times New Roman" w:hAnsi="Times New Roman" w:cs="Times New Roman"/>
          <w:b/>
          <w:bCs/>
          <w:sz w:val="24"/>
          <w:szCs w:val="24"/>
        </w:rPr>
      </w:pPr>
    </w:p>
    <w:p w14:paraId="582F38A9" w14:textId="269D83BD" w:rsidR="00A95937" w:rsidRDefault="00A95937" w:rsidP="00A95937">
      <w:pPr>
        <w:jc w:val="center"/>
        <w:rPr>
          <w:rFonts w:ascii="Times New Roman" w:hAnsi="Times New Roman" w:cs="Times New Roman"/>
          <w:b/>
          <w:bCs/>
          <w:sz w:val="24"/>
          <w:szCs w:val="24"/>
        </w:rPr>
      </w:pPr>
    </w:p>
    <w:p w14:paraId="03D3A30F" w14:textId="69232F2B" w:rsidR="00A95937" w:rsidRDefault="00A95937" w:rsidP="00A95937">
      <w:pPr>
        <w:jc w:val="center"/>
        <w:rPr>
          <w:rFonts w:ascii="Times New Roman" w:hAnsi="Times New Roman" w:cs="Times New Roman"/>
          <w:b/>
          <w:bCs/>
          <w:sz w:val="24"/>
          <w:szCs w:val="24"/>
        </w:rPr>
      </w:pPr>
    </w:p>
    <w:p w14:paraId="05D571B8" w14:textId="6878654D" w:rsidR="00A95937" w:rsidRDefault="00A95937" w:rsidP="00A95937">
      <w:pPr>
        <w:jc w:val="center"/>
        <w:rPr>
          <w:rFonts w:ascii="Times New Roman" w:hAnsi="Times New Roman" w:cs="Times New Roman"/>
          <w:b/>
          <w:bCs/>
          <w:sz w:val="24"/>
          <w:szCs w:val="24"/>
        </w:rPr>
      </w:pPr>
    </w:p>
    <w:p w14:paraId="6DD3236C" w14:textId="5802C804" w:rsidR="00A95937" w:rsidRDefault="00A95937" w:rsidP="00A95937">
      <w:pPr>
        <w:jc w:val="center"/>
        <w:rPr>
          <w:rFonts w:ascii="Times New Roman" w:hAnsi="Times New Roman" w:cs="Times New Roman"/>
          <w:b/>
          <w:bCs/>
          <w:sz w:val="24"/>
          <w:szCs w:val="24"/>
        </w:rPr>
      </w:pPr>
    </w:p>
    <w:p w14:paraId="7DC01CF0" w14:textId="4E231B12" w:rsidR="00A95937" w:rsidRDefault="00A95937" w:rsidP="00A95937">
      <w:pPr>
        <w:jc w:val="center"/>
        <w:rPr>
          <w:rFonts w:ascii="Times New Roman" w:hAnsi="Times New Roman" w:cs="Times New Roman"/>
          <w:b/>
          <w:bCs/>
          <w:sz w:val="24"/>
          <w:szCs w:val="24"/>
        </w:rPr>
      </w:pPr>
    </w:p>
    <w:p w14:paraId="778F013C" w14:textId="7D8B2DEA" w:rsidR="00EF6DAC" w:rsidRPr="009D0195" w:rsidRDefault="00A95937" w:rsidP="009D0195">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Алматы - 202</w:t>
      </w:r>
      <w:r w:rsidR="009D0195">
        <w:rPr>
          <w:rFonts w:ascii="Times New Roman" w:hAnsi="Times New Roman" w:cs="Times New Roman"/>
          <w:b/>
          <w:bCs/>
          <w:sz w:val="24"/>
          <w:szCs w:val="24"/>
          <w:lang w:val="ru-RU"/>
        </w:rPr>
        <w:t>3</w:t>
      </w:r>
    </w:p>
    <w:p w14:paraId="3C3361C0" w14:textId="1A39C8D0" w:rsidR="00926365" w:rsidRDefault="00926365" w:rsidP="00A95937">
      <w:pPr>
        <w:jc w:val="center"/>
        <w:rPr>
          <w:rFonts w:ascii="Times New Roman" w:hAnsi="Times New Roman" w:cs="Times New Roman"/>
          <w:b/>
          <w:bCs/>
          <w:sz w:val="24"/>
          <w:szCs w:val="24"/>
        </w:rPr>
      </w:pPr>
    </w:p>
    <w:p w14:paraId="11A48B24" w14:textId="185B4461" w:rsidR="00926365" w:rsidRPr="00086B7C" w:rsidRDefault="00926365" w:rsidP="00555DF4">
      <w:pPr>
        <w:jc w:val="center"/>
        <w:rPr>
          <w:rFonts w:ascii="Times New Roman" w:hAnsi="Times New Roman" w:cs="Times New Roman"/>
          <w:b/>
          <w:bCs/>
          <w:sz w:val="24"/>
          <w:szCs w:val="24"/>
          <w:lang w:val="ru-RU"/>
        </w:rPr>
      </w:pPr>
      <w:r w:rsidRPr="00086B7C">
        <w:rPr>
          <w:rFonts w:ascii="Times New Roman" w:hAnsi="Times New Roman" w:cs="Times New Roman"/>
          <w:b/>
          <w:bCs/>
          <w:sz w:val="24"/>
          <w:szCs w:val="24"/>
        </w:rPr>
        <w:lastRenderedPageBreak/>
        <w:t>ПРАВИЛА ЭК</w:t>
      </w:r>
      <w:r w:rsidRPr="00086B7C">
        <w:rPr>
          <w:rFonts w:ascii="Times New Roman" w:hAnsi="Times New Roman" w:cs="Times New Roman"/>
          <w:b/>
          <w:bCs/>
          <w:sz w:val="24"/>
          <w:szCs w:val="24"/>
          <w:lang w:val="ru-RU"/>
        </w:rPr>
        <w:t>ЗАМЕНА</w:t>
      </w:r>
    </w:p>
    <w:p w14:paraId="707AAB08"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Форма итогового экзамена по предмету – в письменном оффлайн формате.</w:t>
      </w:r>
    </w:p>
    <w:p w14:paraId="2D0052A2"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 xml:space="preserve"> Форма итогового экзамена: Письменный экзамен</w:t>
      </w:r>
    </w:p>
    <w:p w14:paraId="006EED18"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Правила поведения:</w:t>
      </w:r>
    </w:p>
    <w:p w14:paraId="3A8A55D6"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1. Оффлайн письменный экзамен проводится в аудиториях.</w:t>
      </w:r>
    </w:p>
    <w:p w14:paraId="680BBB59" w14:textId="17C8602A"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 xml:space="preserve">2. За 15 минут до начала экзамена дежурный </w:t>
      </w:r>
      <w:proofErr w:type="gramStart"/>
      <w:r w:rsidRPr="00086B7C">
        <w:rPr>
          <w:rFonts w:ascii="Times New Roman" w:hAnsi="Times New Roman" w:cs="Times New Roman"/>
          <w:sz w:val="24"/>
          <w:szCs w:val="24"/>
        </w:rPr>
        <w:t>преподаватель</w:t>
      </w:r>
      <w:r w:rsidRPr="00086B7C">
        <w:rPr>
          <w:rFonts w:ascii="Times New Roman" w:hAnsi="Times New Roman" w:cs="Times New Roman"/>
          <w:sz w:val="24"/>
          <w:szCs w:val="24"/>
          <w:lang w:val="ru-RU"/>
        </w:rPr>
        <w:t xml:space="preserve"> </w:t>
      </w:r>
      <w:r w:rsidRPr="00086B7C">
        <w:rPr>
          <w:rFonts w:ascii="Times New Roman" w:hAnsi="Times New Roman" w:cs="Times New Roman"/>
          <w:sz w:val="24"/>
          <w:szCs w:val="24"/>
        </w:rPr>
        <w:t xml:space="preserve"> </w:t>
      </w:r>
      <w:r w:rsidR="00021DD4" w:rsidRPr="00086B7C">
        <w:rPr>
          <w:rFonts w:ascii="Times New Roman" w:hAnsi="Times New Roman" w:cs="Times New Roman"/>
          <w:sz w:val="24"/>
          <w:szCs w:val="24"/>
          <w:lang w:val="ru-RU"/>
        </w:rPr>
        <w:t>расписывается</w:t>
      </w:r>
      <w:proofErr w:type="gramEnd"/>
      <w:r w:rsidR="00021DD4" w:rsidRPr="00086B7C">
        <w:rPr>
          <w:rFonts w:ascii="Times New Roman" w:hAnsi="Times New Roman" w:cs="Times New Roman"/>
          <w:sz w:val="24"/>
          <w:szCs w:val="24"/>
          <w:lang w:val="ru-RU"/>
        </w:rPr>
        <w:t xml:space="preserve"> в явочном</w:t>
      </w:r>
      <w:r w:rsidRPr="00086B7C">
        <w:rPr>
          <w:rFonts w:ascii="Times New Roman" w:hAnsi="Times New Roman" w:cs="Times New Roman"/>
          <w:sz w:val="24"/>
          <w:szCs w:val="24"/>
        </w:rPr>
        <w:t xml:space="preserve"> листе </w:t>
      </w:r>
      <w:r w:rsidR="00021DD4" w:rsidRPr="00086B7C">
        <w:rPr>
          <w:rFonts w:ascii="Times New Roman" w:hAnsi="Times New Roman" w:cs="Times New Roman"/>
          <w:sz w:val="24"/>
          <w:szCs w:val="24"/>
        </w:rPr>
        <w:t xml:space="preserve">с указанием мест каждого студента </w:t>
      </w:r>
      <w:r w:rsidR="00021DD4" w:rsidRPr="00086B7C">
        <w:rPr>
          <w:rFonts w:ascii="Times New Roman" w:hAnsi="Times New Roman" w:cs="Times New Roman"/>
          <w:sz w:val="24"/>
          <w:szCs w:val="24"/>
          <w:lang w:val="ru-RU"/>
        </w:rPr>
        <w:t xml:space="preserve">и </w:t>
      </w:r>
      <w:r w:rsidR="00021DD4" w:rsidRPr="00086B7C">
        <w:rPr>
          <w:rFonts w:ascii="Times New Roman" w:hAnsi="Times New Roman" w:cs="Times New Roman"/>
          <w:sz w:val="24"/>
          <w:szCs w:val="24"/>
        </w:rPr>
        <w:t xml:space="preserve">расставляет </w:t>
      </w:r>
      <w:r w:rsidR="00021DD4" w:rsidRPr="00086B7C">
        <w:rPr>
          <w:rFonts w:ascii="Times New Roman" w:hAnsi="Times New Roman" w:cs="Times New Roman"/>
          <w:sz w:val="24"/>
          <w:szCs w:val="24"/>
          <w:lang w:val="ru-RU"/>
        </w:rPr>
        <w:t xml:space="preserve">их </w:t>
      </w:r>
      <w:r w:rsidR="00021DD4" w:rsidRPr="00086B7C">
        <w:rPr>
          <w:rFonts w:ascii="Times New Roman" w:hAnsi="Times New Roman" w:cs="Times New Roman"/>
          <w:sz w:val="24"/>
          <w:szCs w:val="24"/>
        </w:rPr>
        <w:t>на свои</w:t>
      </w:r>
      <w:r w:rsidRPr="00086B7C">
        <w:rPr>
          <w:rFonts w:ascii="Times New Roman" w:hAnsi="Times New Roman" w:cs="Times New Roman"/>
          <w:sz w:val="24"/>
          <w:szCs w:val="24"/>
        </w:rPr>
        <w:t>.</w:t>
      </w:r>
    </w:p>
    <w:p w14:paraId="251F2B03" w14:textId="608BC30D"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 xml:space="preserve">3. На время экзамена студентам запрещены </w:t>
      </w:r>
      <w:r w:rsidRPr="00086B7C">
        <w:rPr>
          <w:rFonts w:ascii="Times New Roman" w:hAnsi="Times New Roman" w:cs="Times New Roman"/>
          <w:sz w:val="24"/>
          <w:szCs w:val="24"/>
          <w:lang w:val="ru-RU"/>
        </w:rPr>
        <w:t>в</w:t>
      </w:r>
      <w:r w:rsidRPr="00086B7C">
        <w:rPr>
          <w:rFonts w:ascii="Times New Roman" w:hAnsi="Times New Roman" w:cs="Times New Roman"/>
          <w:sz w:val="24"/>
          <w:szCs w:val="24"/>
        </w:rPr>
        <w:t xml:space="preserve">воз и использование </w:t>
      </w:r>
      <w:r w:rsidRPr="00086B7C">
        <w:rPr>
          <w:rFonts w:ascii="Times New Roman" w:hAnsi="Times New Roman" w:cs="Times New Roman"/>
          <w:sz w:val="24"/>
          <w:szCs w:val="24"/>
          <w:lang w:val="ru-RU"/>
        </w:rPr>
        <w:t>шпаргалок</w:t>
      </w:r>
      <w:r w:rsidR="00021DD4" w:rsidRPr="00086B7C">
        <w:rPr>
          <w:rFonts w:ascii="Times New Roman" w:hAnsi="Times New Roman" w:cs="Times New Roman"/>
          <w:sz w:val="24"/>
          <w:szCs w:val="24"/>
          <w:lang w:val="ru-RU"/>
        </w:rPr>
        <w:t>,</w:t>
      </w:r>
      <w:r w:rsidRPr="00086B7C">
        <w:rPr>
          <w:rFonts w:ascii="Times New Roman" w:hAnsi="Times New Roman" w:cs="Times New Roman"/>
          <w:sz w:val="24"/>
          <w:szCs w:val="24"/>
          <w:lang w:val="ru-RU"/>
        </w:rPr>
        <w:t xml:space="preserve"> </w:t>
      </w:r>
      <w:r w:rsidRPr="00086B7C">
        <w:rPr>
          <w:rFonts w:ascii="Times New Roman" w:hAnsi="Times New Roman" w:cs="Times New Roman"/>
          <w:sz w:val="24"/>
          <w:szCs w:val="24"/>
        </w:rPr>
        <w:t>мобильны</w:t>
      </w:r>
      <w:r w:rsidRPr="00086B7C">
        <w:rPr>
          <w:rFonts w:ascii="Times New Roman" w:hAnsi="Times New Roman" w:cs="Times New Roman"/>
          <w:sz w:val="24"/>
          <w:szCs w:val="24"/>
          <w:lang w:val="ru-RU"/>
        </w:rPr>
        <w:t>х</w:t>
      </w:r>
      <w:r w:rsidRPr="00086B7C">
        <w:rPr>
          <w:rFonts w:ascii="Times New Roman" w:hAnsi="Times New Roman" w:cs="Times New Roman"/>
          <w:sz w:val="24"/>
          <w:szCs w:val="24"/>
        </w:rPr>
        <w:t xml:space="preserve"> телефон</w:t>
      </w:r>
      <w:proofErr w:type="spellStart"/>
      <w:r w:rsidRPr="00086B7C">
        <w:rPr>
          <w:rFonts w:ascii="Times New Roman" w:hAnsi="Times New Roman" w:cs="Times New Roman"/>
          <w:sz w:val="24"/>
          <w:szCs w:val="24"/>
          <w:lang w:val="ru-RU"/>
        </w:rPr>
        <w:t>ов</w:t>
      </w:r>
      <w:proofErr w:type="spellEnd"/>
      <w:r w:rsidRPr="00086B7C">
        <w:rPr>
          <w:rFonts w:ascii="Times New Roman" w:hAnsi="Times New Roman" w:cs="Times New Roman"/>
          <w:sz w:val="24"/>
          <w:szCs w:val="24"/>
        </w:rPr>
        <w:t>, смарт-час</w:t>
      </w:r>
      <w:proofErr w:type="spellStart"/>
      <w:r w:rsidRPr="00086B7C">
        <w:rPr>
          <w:rFonts w:ascii="Times New Roman" w:hAnsi="Times New Roman" w:cs="Times New Roman"/>
          <w:sz w:val="24"/>
          <w:szCs w:val="24"/>
          <w:lang w:val="ru-RU"/>
        </w:rPr>
        <w:t>ов</w:t>
      </w:r>
      <w:proofErr w:type="spellEnd"/>
      <w:r w:rsidRPr="00086B7C">
        <w:rPr>
          <w:rFonts w:ascii="Times New Roman" w:hAnsi="Times New Roman" w:cs="Times New Roman"/>
          <w:sz w:val="24"/>
          <w:szCs w:val="24"/>
        </w:rPr>
        <w:t xml:space="preserve"> и </w:t>
      </w:r>
      <w:proofErr w:type="gramStart"/>
      <w:r w:rsidRPr="00086B7C">
        <w:rPr>
          <w:rFonts w:ascii="Times New Roman" w:hAnsi="Times New Roman" w:cs="Times New Roman"/>
          <w:sz w:val="24"/>
          <w:szCs w:val="24"/>
        </w:rPr>
        <w:t>т.д.</w:t>
      </w:r>
      <w:proofErr w:type="gramEnd"/>
      <w:r w:rsidRPr="00086B7C">
        <w:rPr>
          <w:rFonts w:ascii="Times New Roman" w:hAnsi="Times New Roman" w:cs="Times New Roman"/>
          <w:sz w:val="24"/>
          <w:szCs w:val="24"/>
        </w:rPr>
        <w:t xml:space="preserve"> </w:t>
      </w:r>
    </w:p>
    <w:p w14:paraId="37C1D839" w14:textId="6CC6A210"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4. По окончании времени экзамена дежурный преподаватель собирает экзаменационные работы и передает их специалисту факультета для шифрования в течение 20 минут.</w:t>
      </w:r>
    </w:p>
    <w:p w14:paraId="2290DD26"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ФОРМА ОТВЕТА: Доступен в рукописной форме</w:t>
      </w:r>
    </w:p>
    <w:p w14:paraId="2A80B780" w14:textId="493E5E59"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 xml:space="preserve"> ВРЕМЯ ЭКЗАМЕНА: 180 минут.</w:t>
      </w:r>
    </w:p>
    <w:p w14:paraId="270C61EC" w14:textId="754D9827" w:rsidR="00926365" w:rsidRPr="00086B7C" w:rsidRDefault="00926365" w:rsidP="00314F8E">
      <w:pPr>
        <w:pStyle w:val="a3"/>
        <w:tabs>
          <w:tab w:val="left" w:pos="1843"/>
        </w:tabs>
        <w:ind w:left="0"/>
        <w:rPr>
          <w:rFonts w:ascii="Times New Roman" w:hAnsi="Times New Roman" w:cs="Times New Roman"/>
        </w:rPr>
      </w:pPr>
      <w:r w:rsidRPr="00086B7C">
        <w:rPr>
          <w:rFonts w:ascii="Times New Roman" w:hAnsi="Times New Roman" w:cs="Times New Roman"/>
        </w:rPr>
        <w:t xml:space="preserve">ВАЖНО: </w:t>
      </w:r>
      <w:r w:rsidR="00314F8E" w:rsidRPr="00086B7C">
        <w:rPr>
          <w:rFonts w:ascii="Times New Roman" w:hAnsi="Times New Roman" w:cs="Times New Roman"/>
        </w:rPr>
        <w:t>Обучающиеся и преподаватели должны быть заранее информированы о графике экзаменов – ответственность руководства кафедр и факультета.</w:t>
      </w:r>
    </w:p>
    <w:p w14:paraId="4DDB6BF2" w14:textId="6778A0A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Студенты будут уведомлены об экзамене в назначенную дату.</w:t>
      </w:r>
    </w:p>
    <w:p w14:paraId="75C909DD"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30 минут до экзамена - студенты должны быть готовы к экзамену.</w:t>
      </w:r>
    </w:p>
    <w:p w14:paraId="35D980AC" w14:textId="5125E61C"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 xml:space="preserve">ВАЖНО: Время </w:t>
      </w:r>
      <w:r w:rsidR="00314F8E" w:rsidRPr="00086B7C">
        <w:rPr>
          <w:rFonts w:ascii="Times New Roman" w:hAnsi="Times New Roman" w:cs="Times New Roman"/>
          <w:sz w:val="24"/>
          <w:szCs w:val="24"/>
          <w:lang w:val="ru-RU"/>
        </w:rPr>
        <w:t>оценивания</w:t>
      </w:r>
      <w:r w:rsidR="00021DD4" w:rsidRPr="00086B7C">
        <w:rPr>
          <w:rFonts w:ascii="Times New Roman" w:hAnsi="Times New Roman" w:cs="Times New Roman"/>
          <w:sz w:val="24"/>
          <w:szCs w:val="24"/>
          <w:lang w:val="ru-RU"/>
        </w:rPr>
        <w:t xml:space="preserve"> ответов</w:t>
      </w:r>
      <w:r w:rsidRPr="00086B7C">
        <w:rPr>
          <w:rFonts w:ascii="Times New Roman" w:hAnsi="Times New Roman" w:cs="Times New Roman"/>
          <w:sz w:val="24"/>
          <w:szCs w:val="24"/>
        </w:rPr>
        <w:t xml:space="preserve"> - до 48 часов.</w:t>
      </w:r>
    </w:p>
    <w:p w14:paraId="0C066C58" w14:textId="6D7727E9" w:rsidR="00021DD4" w:rsidRPr="00086B7C" w:rsidRDefault="00021DD4" w:rsidP="00926365">
      <w:pPr>
        <w:jc w:val="both"/>
        <w:rPr>
          <w:rFonts w:ascii="Times New Roman" w:hAnsi="Times New Roman" w:cs="Times New Roman"/>
          <w:sz w:val="24"/>
          <w:szCs w:val="24"/>
        </w:rPr>
      </w:pPr>
    </w:p>
    <w:p w14:paraId="6182377C" w14:textId="29C3BCA1" w:rsidR="00021DD4" w:rsidRPr="00086B7C" w:rsidRDefault="00021DD4" w:rsidP="00314F8E">
      <w:pPr>
        <w:jc w:val="center"/>
        <w:rPr>
          <w:rFonts w:ascii="Times New Roman" w:hAnsi="Times New Roman" w:cs="Times New Roman"/>
          <w:b/>
          <w:bCs/>
          <w:sz w:val="24"/>
          <w:szCs w:val="24"/>
          <w:lang w:val="ru-RU"/>
        </w:rPr>
      </w:pPr>
      <w:r w:rsidRPr="00086B7C">
        <w:rPr>
          <w:rFonts w:ascii="Times New Roman" w:hAnsi="Times New Roman" w:cs="Times New Roman"/>
          <w:b/>
          <w:bCs/>
          <w:sz w:val="24"/>
          <w:szCs w:val="24"/>
        </w:rPr>
        <w:t>Темы</w:t>
      </w:r>
      <w:r w:rsidRPr="00086B7C">
        <w:rPr>
          <w:rFonts w:ascii="Times New Roman" w:hAnsi="Times New Roman" w:cs="Times New Roman"/>
          <w:b/>
          <w:bCs/>
          <w:sz w:val="24"/>
          <w:szCs w:val="24"/>
          <w:lang w:val="ru-RU"/>
        </w:rPr>
        <w:t xml:space="preserve"> к </w:t>
      </w:r>
      <w:r w:rsidRPr="00086B7C">
        <w:rPr>
          <w:rFonts w:ascii="Times New Roman" w:hAnsi="Times New Roman" w:cs="Times New Roman"/>
          <w:b/>
          <w:bCs/>
          <w:sz w:val="24"/>
          <w:szCs w:val="24"/>
        </w:rPr>
        <w:t>экзаменационным заданиям</w:t>
      </w:r>
    </w:p>
    <w:p w14:paraId="5B978A2E" w14:textId="787FAA53" w:rsidR="00021DD4" w:rsidRPr="004D6D55" w:rsidRDefault="00021DD4" w:rsidP="00021DD4">
      <w:pPr>
        <w:rPr>
          <w:rFonts w:ascii="Times New Roman" w:hAnsi="Times New Roman" w:cs="Times New Roman"/>
          <w:b/>
          <w:bCs/>
          <w:sz w:val="24"/>
          <w:szCs w:val="24"/>
        </w:rPr>
      </w:pPr>
      <w:r w:rsidRPr="00086B7C">
        <w:rPr>
          <w:rFonts w:ascii="Times New Roman" w:hAnsi="Times New Roman" w:cs="Times New Roman"/>
          <w:sz w:val="24"/>
          <w:szCs w:val="24"/>
        </w:rPr>
        <w:t xml:space="preserve">         </w:t>
      </w:r>
      <w:r w:rsidRPr="004D6D55">
        <w:rPr>
          <w:rFonts w:ascii="Times New Roman" w:hAnsi="Times New Roman" w:cs="Times New Roman"/>
          <w:b/>
          <w:bCs/>
          <w:sz w:val="24"/>
          <w:szCs w:val="24"/>
        </w:rPr>
        <w:t xml:space="preserve">Блок 1. </w:t>
      </w:r>
      <w:r w:rsidR="004D6D55" w:rsidRPr="004D6D55">
        <w:rPr>
          <w:rFonts w:ascii="Times New Roman" w:hAnsi="Times New Roman" w:cs="Times New Roman"/>
          <w:b/>
          <w:bCs/>
          <w:sz w:val="24"/>
          <w:szCs w:val="24"/>
        </w:rPr>
        <w:t xml:space="preserve">Предмет и задачи экологической токсикологии </w:t>
      </w:r>
    </w:p>
    <w:p w14:paraId="68FAE31A" w14:textId="3E23D745" w:rsidR="004D6D55" w:rsidRPr="004D6D55" w:rsidRDefault="004D6D55" w:rsidP="004D6D55">
      <w:pPr>
        <w:ind w:firstLine="720"/>
        <w:jc w:val="both"/>
        <w:rPr>
          <w:rFonts w:ascii="Times New Roman" w:hAnsi="Times New Roman" w:cs="Times New Roman"/>
          <w:sz w:val="24"/>
          <w:szCs w:val="24"/>
        </w:rPr>
      </w:pPr>
      <w:r w:rsidRPr="004D6D55">
        <w:rPr>
          <w:rFonts w:ascii="Times New Roman" w:hAnsi="Times New Roman" w:cs="Times New Roman"/>
          <w:sz w:val="24"/>
          <w:szCs w:val="24"/>
        </w:rPr>
        <w:t xml:space="preserve">Основные понятия экологической токсикологии. Предмет и объекты экологической токсикологии. Связь с токсикологией, водной токсикологией, популяционной экологией, экологической химией, </w:t>
      </w:r>
      <w:proofErr w:type="spellStart"/>
      <w:r w:rsidRPr="004D6D55">
        <w:rPr>
          <w:rFonts w:ascii="Times New Roman" w:hAnsi="Times New Roman" w:cs="Times New Roman"/>
          <w:sz w:val="24"/>
          <w:szCs w:val="24"/>
        </w:rPr>
        <w:t>биоиндикацией</w:t>
      </w:r>
      <w:proofErr w:type="spellEnd"/>
      <w:r w:rsidRPr="004D6D55">
        <w:rPr>
          <w:rFonts w:ascii="Times New Roman" w:hAnsi="Times New Roman" w:cs="Times New Roman"/>
          <w:sz w:val="24"/>
          <w:szCs w:val="24"/>
        </w:rPr>
        <w:t xml:space="preserve">, биомониторингом, экологической экспертизой, охраной окружающей среды. Источники поступления токсических веществ. Химическое и радиоактивное загрязнение среды в комплексе антропогенных факторов воздействия на экосистемы. Специфическая особенность </w:t>
      </w:r>
      <w:proofErr w:type="spellStart"/>
      <w:r w:rsidRPr="004D6D55">
        <w:rPr>
          <w:rFonts w:ascii="Times New Roman" w:hAnsi="Times New Roman" w:cs="Times New Roman"/>
          <w:sz w:val="24"/>
          <w:szCs w:val="24"/>
        </w:rPr>
        <w:t>экотоксикологии</w:t>
      </w:r>
      <w:proofErr w:type="spellEnd"/>
      <w:r w:rsidRPr="004D6D55">
        <w:rPr>
          <w:rFonts w:ascii="Times New Roman" w:hAnsi="Times New Roman" w:cs="Times New Roman"/>
          <w:sz w:val="24"/>
          <w:szCs w:val="24"/>
        </w:rPr>
        <w:t xml:space="preserve"> - оценка </w:t>
      </w:r>
      <w:proofErr w:type="spellStart"/>
      <w:r w:rsidRPr="004D6D55">
        <w:rPr>
          <w:rFonts w:ascii="Times New Roman" w:hAnsi="Times New Roman" w:cs="Times New Roman"/>
          <w:sz w:val="24"/>
          <w:szCs w:val="24"/>
        </w:rPr>
        <w:t>зкологических</w:t>
      </w:r>
      <w:proofErr w:type="spellEnd"/>
      <w:r w:rsidRPr="004D6D55">
        <w:rPr>
          <w:rFonts w:ascii="Times New Roman" w:hAnsi="Times New Roman" w:cs="Times New Roman"/>
          <w:sz w:val="24"/>
          <w:szCs w:val="24"/>
        </w:rPr>
        <w:t xml:space="preserve"> последствий совместного действия антропогенных и природных факторов на живые объекты. Основные понятия: «загрязнение окружающей среды», </w:t>
      </w:r>
      <w:proofErr w:type="spellStart"/>
      <w:r w:rsidRPr="004D6D55">
        <w:rPr>
          <w:rFonts w:ascii="Times New Roman" w:hAnsi="Times New Roman" w:cs="Times New Roman"/>
          <w:sz w:val="24"/>
          <w:szCs w:val="24"/>
        </w:rPr>
        <w:t>полютант</w:t>
      </w:r>
      <w:proofErr w:type="spellEnd"/>
      <w:r w:rsidRPr="004D6D55">
        <w:rPr>
          <w:rFonts w:ascii="Times New Roman" w:hAnsi="Times New Roman" w:cs="Times New Roman"/>
          <w:sz w:val="24"/>
          <w:szCs w:val="24"/>
        </w:rPr>
        <w:t xml:space="preserve"> (загрязнитель), ксенобиотики, соотношение терминов. Уровни загрязнения: локальный, региональный, глобальный. Классификация токсических факторов Токсический эффект, его виды, уровни и механизм действия. Влияние факторов внешней среды на токсический эффект. Токсический эффект. Уровни токсического эффекта. Виды токсических соединений. Классификация. Источники поступления. Механизмы токсического действия. Типы токсического воздействия загрязняющих веществ на живой организм: цитотоксическое, тератогенное, генетическое. Пути первичного токсического эффекта. Вторичный токсический эффект. Прямое и косвенное воздействие токсикантов. Понятие порогового уровня, дозы. Понятие допустимой нагрузки на элементы биосферы. Пределы допустимого воздействия на водные и наземные объекты. Тест-организмы. Биотестирование. Методы </w:t>
      </w:r>
      <w:proofErr w:type="spellStart"/>
      <w:r w:rsidRPr="004D6D55">
        <w:rPr>
          <w:rFonts w:ascii="Times New Roman" w:hAnsi="Times New Roman" w:cs="Times New Roman"/>
          <w:sz w:val="24"/>
          <w:szCs w:val="24"/>
        </w:rPr>
        <w:t>биоиндикации</w:t>
      </w:r>
      <w:proofErr w:type="spellEnd"/>
      <w:r w:rsidRPr="004D6D55">
        <w:rPr>
          <w:rFonts w:ascii="Times New Roman" w:hAnsi="Times New Roman" w:cs="Times New Roman"/>
          <w:sz w:val="24"/>
          <w:szCs w:val="24"/>
        </w:rPr>
        <w:t xml:space="preserve"> и биотестирования. Тяжелые металлы (ртуть, свинец, кадмий, хром, мышьяк </w:t>
      </w:r>
      <w:r w:rsidRPr="004D6D55">
        <w:rPr>
          <w:rFonts w:ascii="Times New Roman" w:hAnsi="Times New Roman" w:cs="Times New Roman"/>
          <w:sz w:val="24"/>
          <w:szCs w:val="24"/>
        </w:rPr>
        <w:lastRenderedPageBreak/>
        <w:t xml:space="preserve">и др.); диоксины и их производные; ДДТ и другие пестициды, асбест и другие минеральные волокна; полициклические ароматические углеводороды, кислотообразующие соединения. Закономерности химических превращений и взаимодействия с биологическими объектами. Оценка токсического эффекта. Функциональные и </w:t>
      </w:r>
      <w:proofErr w:type="spellStart"/>
      <w:r w:rsidRPr="004D6D55">
        <w:rPr>
          <w:rFonts w:ascii="Times New Roman" w:hAnsi="Times New Roman" w:cs="Times New Roman"/>
          <w:sz w:val="24"/>
          <w:szCs w:val="24"/>
        </w:rPr>
        <w:t>апроксимационные</w:t>
      </w:r>
      <w:proofErr w:type="spellEnd"/>
      <w:r w:rsidRPr="004D6D55">
        <w:rPr>
          <w:rFonts w:ascii="Times New Roman" w:hAnsi="Times New Roman" w:cs="Times New Roman"/>
          <w:sz w:val="24"/>
          <w:szCs w:val="24"/>
        </w:rPr>
        <w:t xml:space="preserve"> оценки взаимодействия организма с </w:t>
      </w:r>
      <w:proofErr w:type="spellStart"/>
      <w:r w:rsidRPr="004D6D55">
        <w:rPr>
          <w:rFonts w:ascii="Times New Roman" w:hAnsi="Times New Roman" w:cs="Times New Roman"/>
          <w:sz w:val="24"/>
          <w:szCs w:val="24"/>
        </w:rPr>
        <w:t>ксенобиотиком</w:t>
      </w:r>
      <w:proofErr w:type="spellEnd"/>
      <w:r w:rsidRPr="004D6D55">
        <w:rPr>
          <w:rFonts w:ascii="Times New Roman" w:hAnsi="Times New Roman" w:cs="Times New Roman"/>
          <w:sz w:val="24"/>
          <w:szCs w:val="24"/>
        </w:rPr>
        <w:t xml:space="preserve">. Свойства количественных оценок. Зависимость доза-эффект. Расчет предельных нагрузок. Моделирование токсического эффекта воздействия на популяцию и сообщество. Прогнозирование экологического эффекта воздействия токсических веществ. Причины неточного прогноза токсического эффекта. Пути поступления токсикантов в организм. </w:t>
      </w:r>
      <w:proofErr w:type="spellStart"/>
      <w:r w:rsidRPr="004D6D55">
        <w:rPr>
          <w:rFonts w:ascii="Times New Roman" w:hAnsi="Times New Roman" w:cs="Times New Roman"/>
          <w:sz w:val="24"/>
          <w:szCs w:val="24"/>
        </w:rPr>
        <w:t>Токсикокинетика</w:t>
      </w:r>
      <w:proofErr w:type="spellEnd"/>
      <w:r w:rsidRPr="004D6D55">
        <w:rPr>
          <w:rFonts w:ascii="Times New Roman" w:hAnsi="Times New Roman" w:cs="Times New Roman"/>
          <w:sz w:val="24"/>
          <w:szCs w:val="24"/>
        </w:rPr>
        <w:t xml:space="preserve">. </w:t>
      </w:r>
      <w:proofErr w:type="spellStart"/>
      <w:r w:rsidRPr="004D6D55">
        <w:rPr>
          <w:rFonts w:ascii="Times New Roman" w:hAnsi="Times New Roman" w:cs="Times New Roman"/>
          <w:sz w:val="24"/>
          <w:szCs w:val="24"/>
        </w:rPr>
        <w:t>Биоконцентрирование</w:t>
      </w:r>
      <w:proofErr w:type="spellEnd"/>
      <w:r w:rsidRPr="004D6D55">
        <w:rPr>
          <w:rFonts w:ascii="Times New Roman" w:hAnsi="Times New Roman" w:cs="Times New Roman"/>
          <w:sz w:val="24"/>
          <w:szCs w:val="24"/>
        </w:rPr>
        <w:t xml:space="preserve">, </w:t>
      </w:r>
      <w:proofErr w:type="spellStart"/>
      <w:r w:rsidRPr="004D6D55">
        <w:rPr>
          <w:rFonts w:ascii="Times New Roman" w:hAnsi="Times New Roman" w:cs="Times New Roman"/>
          <w:sz w:val="24"/>
          <w:szCs w:val="24"/>
        </w:rPr>
        <w:t>биоаккумуляция</w:t>
      </w:r>
      <w:proofErr w:type="spellEnd"/>
      <w:r w:rsidRPr="004D6D55">
        <w:rPr>
          <w:rFonts w:ascii="Times New Roman" w:hAnsi="Times New Roman" w:cs="Times New Roman"/>
          <w:sz w:val="24"/>
          <w:szCs w:val="24"/>
        </w:rPr>
        <w:t xml:space="preserve">, </w:t>
      </w:r>
      <w:proofErr w:type="spellStart"/>
      <w:r w:rsidRPr="004D6D55">
        <w:rPr>
          <w:rFonts w:ascii="Times New Roman" w:hAnsi="Times New Roman" w:cs="Times New Roman"/>
          <w:sz w:val="24"/>
          <w:szCs w:val="24"/>
        </w:rPr>
        <w:t>биомагнификация</w:t>
      </w:r>
      <w:proofErr w:type="spellEnd"/>
      <w:r w:rsidRPr="004D6D55">
        <w:rPr>
          <w:rFonts w:ascii="Times New Roman" w:hAnsi="Times New Roman" w:cs="Times New Roman"/>
          <w:sz w:val="24"/>
          <w:szCs w:val="24"/>
        </w:rPr>
        <w:t xml:space="preserve">. Закономерности концентрирования токсических веществ в живых организмах. Трансформация токсических веществ в экосистемах. Миграция токсических веществ по трофическим цепям. Воздействие токсических веществ на организм. Закономерности накопления токсических веществ в организме растений, животных (позвоночные, беспозвоночные, наземные, водные) и человека. Воздействие токсикантов на рост, половое созревание, иммунный статус организма. Система детоксикации, метаболическая активация. Процессы кумуляции и адаптации </w:t>
      </w:r>
    </w:p>
    <w:p w14:paraId="392997E0" w14:textId="0BB4337C" w:rsidR="004D6D55" w:rsidRPr="004D6D55" w:rsidRDefault="004D6D55" w:rsidP="004D6D55">
      <w:pPr>
        <w:jc w:val="center"/>
        <w:rPr>
          <w:rFonts w:ascii="Times New Roman" w:hAnsi="Times New Roman" w:cs="Times New Roman"/>
          <w:b/>
          <w:bCs/>
          <w:sz w:val="24"/>
          <w:szCs w:val="24"/>
        </w:rPr>
      </w:pPr>
      <w:r w:rsidRPr="004D6D55">
        <w:rPr>
          <w:rFonts w:ascii="Times New Roman" w:hAnsi="Times New Roman" w:cs="Times New Roman"/>
          <w:b/>
          <w:bCs/>
          <w:sz w:val="24"/>
          <w:szCs w:val="24"/>
        </w:rPr>
        <w:t>Блок 2</w:t>
      </w:r>
      <w:r w:rsidRPr="004D6D55">
        <w:rPr>
          <w:rFonts w:ascii="Times New Roman" w:hAnsi="Times New Roman" w:cs="Times New Roman"/>
          <w:b/>
          <w:bCs/>
          <w:sz w:val="24"/>
          <w:szCs w:val="24"/>
          <w:lang w:val="ru-RU"/>
        </w:rPr>
        <w:t xml:space="preserve"> </w:t>
      </w:r>
      <w:r w:rsidRPr="004D6D55">
        <w:rPr>
          <w:rFonts w:ascii="Times New Roman" w:hAnsi="Times New Roman" w:cs="Times New Roman"/>
          <w:b/>
          <w:bCs/>
          <w:sz w:val="24"/>
          <w:szCs w:val="24"/>
        </w:rPr>
        <w:t>Экологический мониторинг.</w:t>
      </w:r>
    </w:p>
    <w:p w14:paraId="637BE064" w14:textId="77777777" w:rsidR="004D6D55" w:rsidRPr="004D6D55" w:rsidRDefault="004D6D55" w:rsidP="004D6D55">
      <w:pPr>
        <w:ind w:firstLine="720"/>
        <w:jc w:val="both"/>
        <w:rPr>
          <w:rFonts w:ascii="Times New Roman" w:hAnsi="Times New Roman" w:cs="Times New Roman"/>
          <w:sz w:val="24"/>
          <w:szCs w:val="24"/>
        </w:rPr>
      </w:pPr>
      <w:r w:rsidRPr="004D6D55">
        <w:rPr>
          <w:rFonts w:ascii="Times New Roman" w:hAnsi="Times New Roman" w:cs="Times New Roman"/>
          <w:sz w:val="24"/>
          <w:szCs w:val="24"/>
        </w:rPr>
        <w:t xml:space="preserve">Задачи </w:t>
      </w:r>
      <w:proofErr w:type="spellStart"/>
      <w:r w:rsidRPr="004D6D55">
        <w:rPr>
          <w:rFonts w:ascii="Times New Roman" w:hAnsi="Times New Roman" w:cs="Times New Roman"/>
          <w:sz w:val="24"/>
          <w:szCs w:val="24"/>
        </w:rPr>
        <w:t>экотоксикологического</w:t>
      </w:r>
      <w:proofErr w:type="spellEnd"/>
      <w:r w:rsidRPr="004D6D55">
        <w:rPr>
          <w:rFonts w:ascii="Times New Roman" w:hAnsi="Times New Roman" w:cs="Times New Roman"/>
          <w:sz w:val="24"/>
          <w:szCs w:val="24"/>
        </w:rPr>
        <w:t xml:space="preserve"> мониторинга. Диагностический и прогностический мониторинг. Санитарно-токсикологический, экологический и биосферный мониторинг. Определение количеств </w:t>
      </w:r>
      <w:proofErr w:type="spellStart"/>
      <w:r w:rsidRPr="004D6D55">
        <w:rPr>
          <w:rFonts w:ascii="Times New Roman" w:hAnsi="Times New Roman" w:cs="Times New Roman"/>
          <w:sz w:val="24"/>
          <w:szCs w:val="24"/>
        </w:rPr>
        <w:t>полютантов</w:t>
      </w:r>
      <w:proofErr w:type="spellEnd"/>
      <w:r w:rsidRPr="004D6D55">
        <w:rPr>
          <w:rFonts w:ascii="Times New Roman" w:hAnsi="Times New Roman" w:cs="Times New Roman"/>
          <w:sz w:val="24"/>
          <w:szCs w:val="24"/>
        </w:rPr>
        <w:t xml:space="preserve"> в организме. Роль биологического мониторинга в контроле загрязнения окружающей среды. Виды биоиндикаторов в </w:t>
      </w:r>
      <w:proofErr w:type="spellStart"/>
      <w:r w:rsidRPr="004D6D55">
        <w:rPr>
          <w:rFonts w:ascii="Times New Roman" w:hAnsi="Times New Roman" w:cs="Times New Roman"/>
          <w:sz w:val="24"/>
          <w:szCs w:val="24"/>
        </w:rPr>
        <w:t>экотоксикологии</w:t>
      </w:r>
      <w:proofErr w:type="spellEnd"/>
      <w:r w:rsidRPr="004D6D55">
        <w:rPr>
          <w:rFonts w:ascii="Times New Roman" w:hAnsi="Times New Roman" w:cs="Times New Roman"/>
          <w:sz w:val="24"/>
          <w:szCs w:val="24"/>
        </w:rPr>
        <w:t xml:space="preserve">. Примеры комплексного биомониторинга в </w:t>
      </w:r>
      <w:proofErr w:type="spellStart"/>
      <w:r w:rsidRPr="004D6D55">
        <w:rPr>
          <w:rFonts w:ascii="Times New Roman" w:hAnsi="Times New Roman" w:cs="Times New Roman"/>
          <w:sz w:val="24"/>
          <w:szCs w:val="24"/>
        </w:rPr>
        <w:t>экотоксикологии</w:t>
      </w:r>
      <w:proofErr w:type="spellEnd"/>
      <w:r w:rsidRPr="004D6D55">
        <w:rPr>
          <w:rFonts w:ascii="Times New Roman" w:hAnsi="Times New Roman" w:cs="Times New Roman"/>
          <w:sz w:val="24"/>
          <w:szCs w:val="24"/>
        </w:rPr>
        <w:t xml:space="preserve">: динамика европейской популяции сапсана под воздействием пестицидов и др. Популяционная </w:t>
      </w:r>
      <w:proofErr w:type="spellStart"/>
      <w:r w:rsidRPr="004D6D55">
        <w:rPr>
          <w:rFonts w:ascii="Times New Roman" w:hAnsi="Times New Roman" w:cs="Times New Roman"/>
          <w:sz w:val="24"/>
          <w:szCs w:val="24"/>
        </w:rPr>
        <w:t>экотоксикология</w:t>
      </w:r>
      <w:proofErr w:type="spellEnd"/>
      <w:r w:rsidRPr="004D6D55">
        <w:rPr>
          <w:rFonts w:ascii="Times New Roman" w:hAnsi="Times New Roman" w:cs="Times New Roman"/>
          <w:sz w:val="24"/>
          <w:szCs w:val="24"/>
        </w:rPr>
        <w:t xml:space="preserve"> человека. Закономерности накопления радионуклидов тяжелых металлов и хлорорганических соединений в популяциях растений и животных. Воздействие </w:t>
      </w:r>
      <w:proofErr w:type="spellStart"/>
      <w:r w:rsidRPr="004D6D55">
        <w:rPr>
          <w:rFonts w:ascii="Times New Roman" w:hAnsi="Times New Roman" w:cs="Times New Roman"/>
          <w:sz w:val="24"/>
          <w:szCs w:val="24"/>
        </w:rPr>
        <w:t>экотоксикантов</w:t>
      </w:r>
      <w:proofErr w:type="spellEnd"/>
      <w:r w:rsidRPr="004D6D55">
        <w:rPr>
          <w:rFonts w:ascii="Times New Roman" w:hAnsi="Times New Roman" w:cs="Times New Roman"/>
          <w:sz w:val="24"/>
          <w:szCs w:val="24"/>
        </w:rPr>
        <w:t xml:space="preserve"> и радиационного загрязнения на популяционную структуру, динамику популяций растений и животных. Модели динамики популяций. Моделирование динамики популяций в условиях токсикологического и радиационного стресса. Показатели оценки стресса. Показатели оценки популяционного стресса: морфологическая внутрипопуляционная изменчивость, цитогенетические изменения, физиологические и биохимические маркеры, темпы роста, частота аномалий развития и поведения. Взаимоотношения с популяциями трофических уровней в условиях </w:t>
      </w:r>
      <w:proofErr w:type="spellStart"/>
      <w:r w:rsidRPr="004D6D55">
        <w:rPr>
          <w:rFonts w:ascii="Times New Roman" w:hAnsi="Times New Roman" w:cs="Times New Roman"/>
          <w:sz w:val="24"/>
          <w:szCs w:val="24"/>
        </w:rPr>
        <w:t>экотоксикологического</w:t>
      </w:r>
      <w:proofErr w:type="spellEnd"/>
      <w:r w:rsidRPr="004D6D55">
        <w:rPr>
          <w:rFonts w:ascii="Times New Roman" w:hAnsi="Times New Roman" w:cs="Times New Roman"/>
          <w:sz w:val="24"/>
          <w:szCs w:val="24"/>
        </w:rPr>
        <w:t xml:space="preserve"> стресса. Популяционная </w:t>
      </w:r>
      <w:proofErr w:type="spellStart"/>
      <w:r w:rsidRPr="004D6D55">
        <w:rPr>
          <w:rFonts w:ascii="Times New Roman" w:hAnsi="Times New Roman" w:cs="Times New Roman"/>
          <w:sz w:val="24"/>
          <w:szCs w:val="24"/>
        </w:rPr>
        <w:t>экотоксикология</w:t>
      </w:r>
      <w:proofErr w:type="spellEnd"/>
      <w:r w:rsidRPr="004D6D55">
        <w:rPr>
          <w:rFonts w:ascii="Times New Roman" w:hAnsi="Times New Roman" w:cs="Times New Roman"/>
          <w:sz w:val="24"/>
          <w:szCs w:val="24"/>
        </w:rPr>
        <w:t xml:space="preserve"> птиц, млекопитающих. Возможности адаптации популяций к техногенному загрязнению. Химическое загрязнение и здоровье населения. Основные источники поступления токсических веществ к человеку. Канцерогенез. Понятие «экоцида». Химические канцерогены. Онкологический мониторинг. Прогнозирование здоровья популяции человека </w:t>
      </w:r>
    </w:p>
    <w:p w14:paraId="4630185F" w14:textId="77777777" w:rsidR="004D6D55" w:rsidRPr="004D6D55" w:rsidRDefault="004D6D55" w:rsidP="004D6D55">
      <w:pPr>
        <w:ind w:firstLine="720"/>
        <w:jc w:val="both"/>
        <w:rPr>
          <w:rFonts w:ascii="Times New Roman" w:hAnsi="Times New Roman" w:cs="Times New Roman"/>
          <w:b/>
          <w:bCs/>
          <w:sz w:val="24"/>
          <w:szCs w:val="24"/>
        </w:rPr>
      </w:pPr>
      <w:r w:rsidRPr="004D6D55">
        <w:rPr>
          <w:rFonts w:ascii="Times New Roman" w:hAnsi="Times New Roman" w:cs="Times New Roman"/>
          <w:b/>
          <w:bCs/>
          <w:sz w:val="24"/>
          <w:szCs w:val="24"/>
        </w:rPr>
        <w:t xml:space="preserve">Блок </w:t>
      </w:r>
      <w:r w:rsidRPr="004D6D55">
        <w:rPr>
          <w:rFonts w:ascii="Times New Roman" w:hAnsi="Times New Roman" w:cs="Times New Roman"/>
          <w:b/>
          <w:bCs/>
          <w:sz w:val="24"/>
          <w:szCs w:val="24"/>
          <w:lang w:val="ru-RU"/>
        </w:rPr>
        <w:t xml:space="preserve">3 </w:t>
      </w:r>
      <w:r w:rsidRPr="004D6D55">
        <w:rPr>
          <w:rFonts w:ascii="Times New Roman" w:hAnsi="Times New Roman" w:cs="Times New Roman"/>
          <w:b/>
          <w:bCs/>
          <w:sz w:val="24"/>
          <w:szCs w:val="24"/>
        </w:rPr>
        <w:t xml:space="preserve">Экологическое нормирование в токсикологии. </w:t>
      </w:r>
    </w:p>
    <w:p w14:paraId="0F42FB7A" w14:textId="1498D500" w:rsidR="00021DD4" w:rsidRPr="004D6D55" w:rsidRDefault="004D6D55" w:rsidP="004D6D55">
      <w:pPr>
        <w:ind w:firstLine="720"/>
        <w:jc w:val="both"/>
        <w:rPr>
          <w:rFonts w:ascii="Times New Roman" w:hAnsi="Times New Roman" w:cs="Times New Roman"/>
          <w:sz w:val="24"/>
          <w:szCs w:val="24"/>
        </w:rPr>
      </w:pPr>
      <w:r w:rsidRPr="004D6D55">
        <w:rPr>
          <w:rFonts w:ascii="Times New Roman" w:hAnsi="Times New Roman" w:cs="Times New Roman"/>
          <w:sz w:val="24"/>
          <w:szCs w:val="24"/>
        </w:rPr>
        <w:t xml:space="preserve">Проблема нормы и патологии экосистем. Проблема нормы и патологии на организменном и </w:t>
      </w:r>
      <w:proofErr w:type="spellStart"/>
      <w:r w:rsidRPr="004D6D55">
        <w:rPr>
          <w:rFonts w:ascii="Times New Roman" w:hAnsi="Times New Roman" w:cs="Times New Roman"/>
          <w:sz w:val="24"/>
          <w:szCs w:val="24"/>
        </w:rPr>
        <w:t>надорганизменном</w:t>
      </w:r>
      <w:proofErr w:type="spellEnd"/>
      <w:r w:rsidRPr="004D6D55">
        <w:rPr>
          <w:rFonts w:ascii="Times New Roman" w:hAnsi="Times New Roman" w:cs="Times New Roman"/>
          <w:sz w:val="24"/>
          <w:szCs w:val="24"/>
        </w:rPr>
        <w:t xml:space="preserve"> уровнях. Нормы по способам формирования: статистическая, теоретическая, экспертная, эмпирическая. Критерии нормы экосистем. Параметры экосистем, подлежащие регистрации при экологическом нормировании. Принципы выбора параметров. Основные концепции экологического нормирования. Общая концепция экологического нормирования. Последовательность экологического нормирования. Виды нормирования. Задачи и методы нормирования острого и </w:t>
      </w:r>
      <w:r w:rsidRPr="004D6D55">
        <w:rPr>
          <w:rFonts w:ascii="Times New Roman" w:hAnsi="Times New Roman" w:cs="Times New Roman"/>
          <w:sz w:val="24"/>
          <w:szCs w:val="24"/>
        </w:rPr>
        <w:lastRenderedPageBreak/>
        <w:t>хронического воздействия отдаленных специфических эффектов. Выбор полигона исследования. Мера нагрузки. Выбор 4 биологических параметров. Форма представления биологических данных ЛК50. Временные этапы процедуры нормирования. Область адекватности нормативов. Индексы состояния, маркеры, аналитические индексы, функции желательности. Методы свертывания информации о загрязнении. Надежность измерения. Меры нагрузки. Индексы загрязнения. Основные критерии при определении допустимой экологической нагрузки. Понятия: ПДК, ОБУВ, МДУ, ДОК, ПДУ и др. Методы определения предельных значений нагрузки. Промышленная, коммунальная, пищевая токсикология</w:t>
      </w:r>
      <w:r w:rsidR="00021DD4" w:rsidRPr="004D6D55">
        <w:rPr>
          <w:rFonts w:ascii="Times New Roman" w:hAnsi="Times New Roman" w:cs="Times New Roman"/>
          <w:b/>
          <w:bCs/>
          <w:sz w:val="24"/>
          <w:szCs w:val="24"/>
        </w:rPr>
        <w:t xml:space="preserve">. </w:t>
      </w:r>
    </w:p>
    <w:p w14:paraId="6EBE8C83" w14:textId="77777777" w:rsidR="0098596C" w:rsidRPr="00B62DA2" w:rsidRDefault="00EF6DAC" w:rsidP="0098596C">
      <w:pPr>
        <w:jc w:val="center"/>
        <w:rPr>
          <w:rFonts w:ascii="Times New Roman" w:hAnsi="Times New Roman" w:cs="Times New Roman"/>
          <w:sz w:val="24"/>
          <w:szCs w:val="24"/>
        </w:rPr>
      </w:pPr>
      <w:r w:rsidRPr="00086B7C">
        <w:rPr>
          <w:rFonts w:ascii="Times New Roman" w:hAnsi="Times New Roman" w:cs="Times New Roman"/>
          <w:b/>
          <w:bCs/>
          <w:sz w:val="24"/>
          <w:szCs w:val="24"/>
          <w:lang w:val="ru-RU"/>
        </w:rPr>
        <w:t xml:space="preserve">       </w:t>
      </w:r>
      <w:r w:rsidR="0098596C" w:rsidRPr="00B62DA2">
        <w:rPr>
          <w:rFonts w:ascii="Times New Roman" w:hAnsi="Times New Roman" w:cs="Times New Roman"/>
          <w:sz w:val="24"/>
          <w:szCs w:val="24"/>
        </w:rPr>
        <w:t>РУБРИКАТОР ОЦЕНИВАНИЯ ИТОГОВОГО КОНТРОЛЯ</w:t>
      </w:r>
    </w:p>
    <w:tbl>
      <w:tblPr>
        <w:tblStyle w:val="a9"/>
        <w:tblW w:w="0" w:type="auto"/>
        <w:tblInd w:w="639" w:type="dxa"/>
        <w:tblLayout w:type="fixed"/>
        <w:tblLook w:val="04A0" w:firstRow="1" w:lastRow="0" w:firstColumn="1" w:lastColumn="0" w:noHBand="0" w:noVBand="1"/>
      </w:tblPr>
      <w:tblGrid>
        <w:gridCol w:w="1483"/>
        <w:gridCol w:w="1417"/>
        <w:gridCol w:w="1559"/>
        <w:gridCol w:w="1560"/>
        <w:gridCol w:w="1842"/>
        <w:gridCol w:w="1330"/>
      </w:tblGrid>
      <w:tr w:rsidR="0098596C" w14:paraId="56790246" w14:textId="77777777" w:rsidTr="00120F9E">
        <w:tc>
          <w:tcPr>
            <w:tcW w:w="1483" w:type="dxa"/>
            <w:vMerge w:val="restart"/>
            <w:tcBorders>
              <w:tl2br w:val="single" w:sz="4" w:space="0" w:color="auto"/>
            </w:tcBorders>
          </w:tcPr>
          <w:p w14:paraId="1F215FE6" w14:textId="77777777" w:rsidR="0098596C" w:rsidRPr="00E2412B" w:rsidRDefault="0098596C" w:rsidP="00120F9E">
            <w:pPr>
              <w:pStyle w:val="1"/>
              <w:ind w:left="0"/>
              <w:jc w:val="both"/>
              <w:rPr>
                <w:b w:val="0"/>
                <w:bCs w:val="0"/>
                <w:sz w:val="20"/>
                <w:szCs w:val="20"/>
                <w:lang w:val="ru-RU"/>
              </w:rPr>
            </w:pPr>
            <w:r w:rsidRPr="00E2412B">
              <w:rPr>
                <w:b w:val="0"/>
                <w:bCs w:val="0"/>
                <w:sz w:val="20"/>
                <w:szCs w:val="20"/>
                <w:lang w:val="ru-RU"/>
              </w:rPr>
              <w:t xml:space="preserve">    Балл</w:t>
            </w:r>
          </w:p>
          <w:p w14:paraId="5E68BA04" w14:textId="77777777" w:rsidR="0098596C" w:rsidRPr="00E2412B" w:rsidRDefault="0098596C" w:rsidP="00120F9E">
            <w:pPr>
              <w:pStyle w:val="1"/>
              <w:ind w:left="0"/>
              <w:jc w:val="both"/>
              <w:rPr>
                <w:b w:val="0"/>
                <w:bCs w:val="0"/>
                <w:sz w:val="20"/>
                <w:szCs w:val="20"/>
                <w:lang w:val="ru-RU"/>
              </w:rPr>
            </w:pPr>
          </w:p>
          <w:p w14:paraId="72B525E2" w14:textId="77777777" w:rsidR="0098596C" w:rsidRPr="00E2412B" w:rsidRDefault="0098596C" w:rsidP="00120F9E">
            <w:pPr>
              <w:pStyle w:val="1"/>
              <w:ind w:left="0"/>
              <w:jc w:val="both"/>
              <w:rPr>
                <w:b w:val="0"/>
                <w:bCs w:val="0"/>
                <w:sz w:val="20"/>
                <w:szCs w:val="20"/>
                <w:lang w:val="ru-RU"/>
              </w:rPr>
            </w:pPr>
            <w:r w:rsidRPr="00E2412B">
              <w:rPr>
                <w:b w:val="0"/>
                <w:bCs w:val="0"/>
                <w:sz w:val="20"/>
                <w:szCs w:val="20"/>
                <w:lang w:val="ru-RU"/>
              </w:rPr>
              <w:t>Критерии</w:t>
            </w:r>
          </w:p>
        </w:tc>
        <w:tc>
          <w:tcPr>
            <w:tcW w:w="7708" w:type="dxa"/>
            <w:gridSpan w:val="5"/>
          </w:tcPr>
          <w:p w14:paraId="2A7B47AA" w14:textId="77777777" w:rsidR="0098596C" w:rsidRPr="00E2412B" w:rsidRDefault="0098596C" w:rsidP="00120F9E">
            <w:pPr>
              <w:pStyle w:val="1"/>
              <w:ind w:left="0"/>
              <w:jc w:val="center"/>
              <w:rPr>
                <w:b w:val="0"/>
                <w:bCs w:val="0"/>
                <w:sz w:val="20"/>
                <w:szCs w:val="20"/>
              </w:rPr>
            </w:pPr>
            <w:r w:rsidRPr="00E2412B">
              <w:rPr>
                <w:b w:val="0"/>
                <w:bCs w:val="0"/>
                <w:sz w:val="20"/>
                <w:szCs w:val="20"/>
              </w:rPr>
              <w:t>ДЕСКРИПТОРЛАР</w:t>
            </w:r>
          </w:p>
        </w:tc>
      </w:tr>
      <w:tr w:rsidR="0098596C" w14:paraId="1EA8EB02" w14:textId="77777777" w:rsidTr="00120F9E">
        <w:tc>
          <w:tcPr>
            <w:tcW w:w="1483" w:type="dxa"/>
            <w:vMerge/>
          </w:tcPr>
          <w:p w14:paraId="7B591623" w14:textId="77777777" w:rsidR="0098596C" w:rsidRPr="00E2412B" w:rsidRDefault="0098596C" w:rsidP="00120F9E">
            <w:pPr>
              <w:pStyle w:val="1"/>
              <w:ind w:left="0"/>
              <w:jc w:val="both"/>
              <w:rPr>
                <w:b w:val="0"/>
                <w:bCs w:val="0"/>
                <w:sz w:val="20"/>
                <w:szCs w:val="20"/>
              </w:rPr>
            </w:pPr>
          </w:p>
        </w:tc>
        <w:tc>
          <w:tcPr>
            <w:tcW w:w="1417" w:type="dxa"/>
          </w:tcPr>
          <w:p w14:paraId="23B32D56" w14:textId="77777777" w:rsidR="0098596C" w:rsidRPr="00E2412B" w:rsidRDefault="0098596C" w:rsidP="00120F9E">
            <w:pPr>
              <w:pStyle w:val="1"/>
              <w:ind w:left="0"/>
              <w:jc w:val="both"/>
              <w:rPr>
                <w:b w:val="0"/>
                <w:bCs w:val="0"/>
                <w:sz w:val="20"/>
                <w:szCs w:val="20"/>
              </w:rPr>
            </w:pPr>
            <w:r w:rsidRPr="00E2412B">
              <w:rPr>
                <w:b w:val="0"/>
                <w:bCs w:val="0"/>
                <w:sz w:val="20"/>
                <w:szCs w:val="20"/>
              </w:rPr>
              <w:t xml:space="preserve">Отлично </w:t>
            </w:r>
          </w:p>
        </w:tc>
        <w:tc>
          <w:tcPr>
            <w:tcW w:w="1559" w:type="dxa"/>
          </w:tcPr>
          <w:p w14:paraId="2BDEF005" w14:textId="77777777" w:rsidR="0098596C" w:rsidRPr="00E2412B" w:rsidRDefault="0098596C" w:rsidP="00120F9E">
            <w:pPr>
              <w:pStyle w:val="1"/>
              <w:ind w:left="0"/>
              <w:jc w:val="both"/>
              <w:rPr>
                <w:b w:val="0"/>
                <w:bCs w:val="0"/>
                <w:sz w:val="20"/>
                <w:szCs w:val="20"/>
              </w:rPr>
            </w:pPr>
            <w:r w:rsidRPr="00E2412B">
              <w:rPr>
                <w:b w:val="0"/>
                <w:bCs w:val="0"/>
                <w:sz w:val="20"/>
                <w:szCs w:val="20"/>
              </w:rPr>
              <w:t xml:space="preserve">Хорошо </w:t>
            </w:r>
          </w:p>
        </w:tc>
        <w:tc>
          <w:tcPr>
            <w:tcW w:w="1560" w:type="dxa"/>
          </w:tcPr>
          <w:p w14:paraId="22AAB700" w14:textId="77777777" w:rsidR="0098596C" w:rsidRPr="00E2412B" w:rsidRDefault="0098596C" w:rsidP="00120F9E">
            <w:pPr>
              <w:pStyle w:val="1"/>
              <w:ind w:left="0"/>
              <w:jc w:val="both"/>
              <w:rPr>
                <w:b w:val="0"/>
                <w:bCs w:val="0"/>
                <w:sz w:val="20"/>
                <w:szCs w:val="20"/>
              </w:rPr>
            </w:pPr>
            <w:r w:rsidRPr="00E2412B">
              <w:rPr>
                <w:b w:val="0"/>
                <w:bCs w:val="0"/>
                <w:sz w:val="20"/>
                <w:szCs w:val="20"/>
              </w:rPr>
              <w:t xml:space="preserve">Удовлетворительно </w:t>
            </w:r>
          </w:p>
        </w:tc>
        <w:tc>
          <w:tcPr>
            <w:tcW w:w="3172" w:type="dxa"/>
            <w:gridSpan w:val="2"/>
          </w:tcPr>
          <w:p w14:paraId="0A3B43E9" w14:textId="77777777" w:rsidR="0098596C" w:rsidRPr="00E2412B" w:rsidRDefault="0098596C" w:rsidP="00120F9E">
            <w:pPr>
              <w:pStyle w:val="1"/>
              <w:ind w:left="0"/>
              <w:jc w:val="both"/>
              <w:rPr>
                <w:b w:val="0"/>
                <w:bCs w:val="0"/>
                <w:sz w:val="20"/>
                <w:szCs w:val="20"/>
              </w:rPr>
            </w:pPr>
            <w:r w:rsidRPr="00E2412B">
              <w:rPr>
                <w:b w:val="0"/>
                <w:bCs w:val="0"/>
                <w:sz w:val="20"/>
                <w:szCs w:val="20"/>
              </w:rPr>
              <w:t>Неудовлетворительно</w:t>
            </w:r>
          </w:p>
        </w:tc>
      </w:tr>
      <w:tr w:rsidR="0098596C" w14:paraId="75F8F988" w14:textId="77777777" w:rsidTr="00120F9E">
        <w:tc>
          <w:tcPr>
            <w:tcW w:w="1483" w:type="dxa"/>
            <w:vMerge/>
          </w:tcPr>
          <w:p w14:paraId="514C6964" w14:textId="77777777" w:rsidR="0098596C" w:rsidRPr="00CB25DD" w:rsidRDefault="0098596C" w:rsidP="00120F9E">
            <w:pPr>
              <w:pStyle w:val="1"/>
              <w:ind w:left="0"/>
              <w:jc w:val="both"/>
              <w:rPr>
                <w:sz w:val="20"/>
                <w:szCs w:val="20"/>
              </w:rPr>
            </w:pPr>
          </w:p>
        </w:tc>
        <w:tc>
          <w:tcPr>
            <w:tcW w:w="1417" w:type="dxa"/>
          </w:tcPr>
          <w:p w14:paraId="7B740DF9" w14:textId="77777777" w:rsidR="0098596C" w:rsidRPr="00CB25DD" w:rsidRDefault="0098596C" w:rsidP="00120F9E">
            <w:pPr>
              <w:pStyle w:val="1"/>
              <w:ind w:left="0"/>
              <w:jc w:val="both"/>
              <w:rPr>
                <w:b w:val="0"/>
                <w:bCs w:val="0"/>
                <w:sz w:val="20"/>
                <w:szCs w:val="20"/>
              </w:rPr>
            </w:pPr>
            <w:r w:rsidRPr="00CB25DD">
              <w:rPr>
                <w:b w:val="0"/>
                <w:bCs w:val="0"/>
                <w:sz w:val="20"/>
                <w:szCs w:val="20"/>
              </w:rPr>
              <w:t xml:space="preserve">90–100 балл </w:t>
            </w:r>
          </w:p>
        </w:tc>
        <w:tc>
          <w:tcPr>
            <w:tcW w:w="1559" w:type="dxa"/>
          </w:tcPr>
          <w:p w14:paraId="2E48F1D5" w14:textId="77777777" w:rsidR="0098596C" w:rsidRPr="00CB25DD" w:rsidRDefault="0098596C" w:rsidP="00120F9E">
            <w:pPr>
              <w:pStyle w:val="1"/>
              <w:ind w:left="0"/>
              <w:jc w:val="both"/>
              <w:rPr>
                <w:b w:val="0"/>
                <w:bCs w:val="0"/>
                <w:sz w:val="20"/>
                <w:szCs w:val="20"/>
              </w:rPr>
            </w:pPr>
            <w:r w:rsidRPr="00CB25DD">
              <w:rPr>
                <w:b w:val="0"/>
                <w:bCs w:val="0"/>
                <w:sz w:val="20"/>
                <w:szCs w:val="20"/>
              </w:rPr>
              <w:t xml:space="preserve">70–89 балл </w:t>
            </w:r>
          </w:p>
        </w:tc>
        <w:tc>
          <w:tcPr>
            <w:tcW w:w="1560" w:type="dxa"/>
          </w:tcPr>
          <w:p w14:paraId="3F725344" w14:textId="77777777" w:rsidR="0098596C" w:rsidRPr="00CB25DD" w:rsidRDefault="0098596C" w:rsidP="00120F9E">
            <w:pPr>
              <w:pStyle w:val="1"/>
              <w:ind w:left="0"/>
              <w:jc w:val="both"/>
              <w:rPr>
                <w:b w:val="0"/>
                <w:bCs w:val="0"/>
                <w:sz w:val="20"/>
                <w:szCs w:val="20"/>
              </w:rPr>
            </w:pPr>
            <w:r w:rsidRPr="00CB25DD">
              <w:rPr>
                <w:b w:val="0"/>
                <w:bCs w:val="0"/>
                <w:sz w:val="20"/>
                <w:szCs w:val="20"/>
              </w:rPr>
              <w:t xml:space="preserve">50–69 балл </w:t>
            </w:r>
          </w:p>
        </w:tc>
        <w:tc>
          <w:tcPr>
            <w:tcW w:w="1842" w:type="dxa"/>
          </w:tcPr>
          <w:p w14:paraId="1FF13E35" w14:textId="77777777" w:rsidR="0098596C" w:rsidRPr="00CB25DD" w:rsidRDefault="0098596C" w:rsidP="00120F9E">
            <w:pPr>
              <w:pStyle w:val="1"/>
              <w:ind w:left="0"/>
              <w:jc w:val="both"/>
              <w:rPr>
                <w:b w:val="0"/>
                <w:bCs w:val="0"/>
                <w:sz w:val="20"/>
                <w:szCs w:val="20"/>
              </w:rPr>
            </w:pPr>
            <w:r w:rsidRPr="00CB25DD">
              <w:rPr>
                <w:b w:val="0"/>
                <w:bCs w:val="0"/>
                <w:sz w:val="20"/>
                <w:szCs w:val="20"/>
              </w:rPr>
              <w:t xml:space="preserve">25–49 балл </w:t>
            </w:r>
          </w:p>
        </w:tc>
        <w:tc>
          <w:tcPr>
            <w:tcW w:w="1330" w:type="dxa"/>
          </w:tcPr>
          <w:p w14:paraId="04EC3D51" w14:textId="77777777" w:rsidR="0098596C" w:rsidRPr="00CB25DD" w:rsidRDefault="0098596C" w:rsidP="00120F9E">
            <w:pPr>
              <w:pStyle w:val="1"/>
              <w:ind w:left="0"/>
              <w:jc w:val="both"/>
              <w:rPr>
                <w:b w:val="0"/>
                <w:bCs w:val="0"/>
                <w:sz w:val="20"/>
                <w:szCs w:val="20"/>
              </w:rPr>
            </w:pPr>
            <w:r w:rsidRPr="00CB25DD">
              <w:rPr>
                <w:b w:val="0"/>
                <w:bCs w:val="0"/>
                <w:sz w:val="20"/>
                <w:szCs w:val="20"/>
              </w:rPr>
              <w:t>0–24 балл</w:t>
            </w:r>
          </w:p>
        </w:tc>
      </w:tr>
      <w:tr w:rsidR="0098596C" w14:paraId="33AB041D" w14:textId="77777777" w:rsidTr="00120F9E">
        <w:tc>
          <w:tcPr>
            <w:tcW w:w="1483" w:type="dxa"/>
          </w:tcPr>
          <w:p w14:paraId="6B89BD95" w14:textId="77777777" w:rsidR="0098596C" w:rsidRPr="008D245A" w:rsidRDefault="0098596C" w:rsidP="00120F9E">
            <w:pPr>
              <w:pStyle w:val="1"/>
              <w:ind w:left="0"/>
              <w:jc w:val="both"/>
              <w:rPr>
                <w:b w:val="0"/>
                <w:bCs w:val="0"/>
                <w:sz w:val="20"/>
                <w:szCs w:val="20"/>
              </w:rPr>
            </w:pPr>
            <w:r w:rsidRPr="008D245A">
              <w:rPr>
                <w:b w:val="0"/>
                <w:bCs w:val="0"/>
                <w:sz w:val="20"/>
                <w:szCs w:val="20"/>
              </w:rPr>
              <w:t>1. Знание и понимание теории и концепции курса</w:t>
            </w:r>
          </w:p>
        </w:tc>
        <w:tc>
          <w:tcPr>
            <w:tcW w:w="1417" w:type="dxa"/>
          </w:tcPr>
          <w:p w14:paraId="1E3ADB9E" w14:textId="77777777" w:rsidR="0098596C" w:rsidRPr="008D245A" w:rsidRDefault="0098596C" w:rsidP="00120F9E">
            <w:pPr>
              <w:pStyle w:val="1"/>
              <w:ind w:left="0"/>
              <w:jc w:val="both"/>
              <w:rPr>
                <w:b w:val="0"/>
                <w:bCs w:val="0"/>
                <w:sz w:val="20"/>
                <w:szCs w:val="20"/>
              </w:rPr>
            </w:pPr>
            <w:r w:rsidRPr="008D245A">
              <w:rPr>
                <w:b w:val="0"/>
                <w:bCs w:val="0"/>
                <w:sz w:val="20"/>
                <w:szCs w:val="20"/>
              </w:rPr>
              <w:t>Ответ содержит исчерпывающее раскрытие всех трех вопросов (в пределах полученных знаний), развернутую аргументацию каждого вывода и утверждения, построен логично и последовательно, подкреплен примерами из разработанных тем аудиторных занятий.</w:t>
            </w:r>
          </w:p>
        </w:tc>
        <w:tc>
          <w:tcPr>
            <w:tcW w:w="1559" w:type="dxa"/>
          </w:tcPr>
          <w:p w14:paraId="5307F1D2" w14:textId="77777777" w:rsidR="0098596C" w:rsidRPr="008D245A" w:rsidRDefault="0098596C" w:rsidP="00120F9E">
            <w:pPr>
              <w:pStyle w:val="1"/>
              <w:ind w:left="0"/>
              <w:jc w:val="both"/>
              <w:rPr>
                <w:b w:val="0"/>
                <w:bCs w:val="0"/>
                <w:sz w:val="20"/>
                <w:szCs w:val="20"/>
              </w:rPr>
            </w:pPr>
            <w:r w:rsidRPr="008D245A">
              <w:rPr>
                <w:b w:val="0"/>
                <w:bCs w:val="0"/>
                <w:sz w:val="20"/>
                <w:szCs w:val="20"/>
              </w:rPr>
              <w:t>Ответ содержит полное, но не исчерпывающее освещение всех вопросов, сокращенную аргументацию основных положений, допускает нарушение логики и последовательности изложения материала, а теоретические вопросы не подкрепляет иллюстративным материалом. В ответе допускаются стилистические ошибки, неточное употребление терминов</w:t>
            </w:r>
          </w:p>
        </w:tc>
        <w:tc>
          <w:tcPr>
            <w:tcW w:w="1560" w:type="dxa"/>
          </w:tcPr>
          <w:p w14:paraId="72D4F2AE" w14:textId="77777777" w:rsidR="0098596C" w:rsidRPr="008D245A" w:rsidRDefault="0098596C" w:rsidP="00120F9E">
            <w:pPr>
              <w:pStyle w:val="1"/>
              <w:ind w:left="0"/>
              <w:jc w:val="both"/>
              <w:rPr>
                <w:b w:val="0"/>
                <w:bCs w:val="0"/>
                <w:sz w:val="20"/>
                <w:szCs w:val="20"/>
              </w:rPr>
            </w:pPr>
            <w:r w:rsidRPr="008D245A">
              <w:rPr>
                <w:b w:val="0"/>
                <w:bCs w:val="0"/>
                <w:sz w:val="20"/>
                <w:szCs w:val="20"/>
              </w:rPr>
              <w:t>Ответ содержит неполное освещение предложенных в билете вопросов, поверхностно аргументирует основные положения, в изложении допускает композиционные диспропорции, нарушения логики и последовательности изложения материала, не иллюстрирует теоретические положения примерами из разработанных конспектов аудиторных занятий.</w:t>
            </w:r>
          </w:p>
        </w:tc>
        <w:tc>
          <w:tcPr>
            <w:tcW w:w="1842" w:type="dxa"/>
          </w:tcPr>
          <w:p w14:paraId="6E6F04E7" w14:textId="77777777" w:rsidR="0098596C" w:rsidRPr="008D245A" w:rsidRDefault="0098596C" w:rsidP="00120F9E">
            <w:pPr>
              <w:pStyle w:val="1"/>
              <w:ind w:left="0"/>
              <w:jc w:val="both"/>
              <w:rPr>
                <w:b w:val="0"/>
                <w:bCs w:val="0"/>
                <w:sz w:val="20"/>
                <w:szCs w:val="20"/>
              </w:rPr>
            </w:pPr>
            <w:r w:rsidRPr="008D245A">
              <w:rPr>
                <w:b w:val="0"/>
                <w:bCs w:val="0"/>
                <w:sz w:val="20"/>
                <w:szCs w:val="20"/>
              </w:rPr>
              <w:t>Неправильное освещение поставленных вопросов, ошибочная аргументация, фактические и речевые ошибки, допущение неверного заключения.</w:t>
            </w:r>
          </w:p>
        </w:tc>
        <w:tc>
          <w:tcPr>
            <w:tcW w:w="1330" w:type="dxa"/>
          </w:tcPr>
          <w:p w14:paraId="341C1053" w14:textId="77777777" w:rsidR="0098596C" w:rsidRPr="008D245A" w:rsidRDefault="0098596C" w:rsidP="00120F9E">
            <w:pPr>
              <w:pStyle w:val="1"/>
              <w:ind w:left="0"/>
              <w:jc w:val="both"/>
              <w:rPr>
                <w:b w:val="0"/>
                <w:bCs w:val="0"/>
                <w:sz w:val="20"/>
                <w:szCs w:val="20"/>
              </w:rPr>
            </w:pPr>
            <w:r w:rsidRPr="008D245A">
              <w:rPr>
                <w:b w:val="0"/>
                <w:bCs w:val="0"/>
                <w:sz w:val="20"/>
                <w:szCs w:val="20"/>
              </w:rPr>
              <w:t>Незнание основных понятий, законов физики; Нарушение Правил проведения итогового контроля.</w:t>
            </w:r>
          </w:p>
        </w:tc>
      </w:tr>
      <w:tr w:rsidR="0098596C" w14:paraId="731D73C5" w14:textId="77777777" w:rsidTr="00120F9E">
        <w:tc>
          <w:tcPr>
            <w:tcW w:w="1483" w:type="dxa"/>
          </w:tcPr>
          <w:p w14:paraId="42C99CB5" w14:textId="77777777" w:rsidR="0098596C" w:rsidRPr="00023A1C" w:rsidRDefault="0098596C" w:rsidP="00120F9E">
            <w:pPr>
              <w:pStyle w:val="1"/>
              <w:ind w:left="0"/>
              <w:jc w:val="both"/>
              <w:rPr>
                <w:b w:val="0"/>
                <w:bCs w:val="0"/>
                <w:sz w:val="20"/>
                <w:szCs w:val="20"/>
              </w:rPr>
            </w:pPr>
            <w:r w:rsidRPr="00023A1C">
              <w:rPr>
                <w:b w:val="0"/>
                <w:bCs w:val="0"/>
                <w:sz w:val="20"/>
                <w:szCs w:val="20"/>
              </w:rPr>
              <w:t>2. Применение избранной методологии и технологии к конкретным прикладным задачам</w:t>
            </w:r>
          </w:p>
        </w:tc>
        <w:tc>
          <w:tcPr>
            <w:tcW w:w="1417" w:type="dxa"/>
          </w:tcPr>
          <w:p w14:paraId="4B8DB33B" w14:textId="77777777" w:rsidR="0098596C" w:rsidRPr="00023A1C" w:rsidRDefault="0098596C" w:rsidP="00120F9E">
            <w:pPr>
              <w:pStyle w:val="1"/>
              <w:ind w:left="0"/>
              <w:jc w:val="both"/>
              <w:rPr>
                <w:b w:val="0"/>
                <w:bCs w:val="0"/>
                <w:sz w:val="20"/>
                <w:szCs w:val="20"/>
              </w:rPr>
            </w:pPr>
            <w:r w:rsidRPr="00023A1C">
              <w:rPr>
                <w:b w:val="0"/>
                <w:bCs w:val="0"/>
                <w:sz w:val="20"/>
                <w:szCs w:val="20"/>
              </w:rPr>
              <w:t xml:space="preserve">Полное выполнение учебного задания, развернутый, аргументированный ответ на поставленный вопрос с последующим решением практических задач </w:t>
            </w:r>
            <w:r w:rsidRPr="00023A1C">
              <w:rPr>
                <w:b w:val="0"/>
                <w:bCs w:val="0"/>
                <w:sz w:val="20"/>
                <w:szCs w:val="20"/>
              </w:rPr>
              <w:lastRenderedPageBreak/>
              <w:t>естествознания;</w:t>
            </w:r>
          </w:p>
        </w:tc>
        <w:tc>
          <w:tcPr>
            <w:tcW w:w="1559" w:type="dxa"/>
          </w:tcPr>
          <w:p w14:paraId="1621B25B" w14:textId="77777777" w:rsidR="0098596C" w:rsidRPr="00023A1C" w:rsidRDefault="0098596C" w:rsidP="00120F9E">
            <w:pPr>
              <w:pStyle w:val="1"/>
              <w:ind w:left="0"/>
              <w:jc w:val="both"/>
              <w:rPr>
                <w:b w:val="0"/>
                <w:bCs w:val="0"/>
                <w:sz w:val="20"/>
                <w:szCs w:val="20"/>
              </w:rPr>
            </w:pPr>
            <w:r w:rsidRPr="00023A1C">
              <w:rPr>
                <w:b w:val="0"/>
                <w:bCs w:val="0"/>
                <w:sz w:val="20"/>
                <w:szCs w:val="20"/>
              </w:rPr>
              <w:lastRenderedPageBreak/>
              <w:t xml:space="preserve">Частичное выполнение учебного задания, неполный, местами аргументированный ответ на поставленный вопрос с неполным решением практических задач </w:t>
            </w:r>
            <w:r w:rsidRPr="00023A1C">
              <w:rPr>
                <w:b w:val="0"/>
                <w:bCs w:val="0"/>
                <w:sz w:val="20"/>
                <w:szCs w:val="20"/>
              </w:rPr>
              <w:lastRenderedPageBreak/>
              <w:t>естествознания; неграмотное использование норм литературного языка инженернотехнического профиля;</w:t>
            </w:r>
          </w:p>
        </w:tc>
        <w:tc>
          <w:tcPr>
            <w:tcW w:w="1560" w:type="dxa"/>
          </w:tcPr>
          <w:p w14:paraId="25C41152" w14:textId="77777777" w:rsidR="0098596C" w:rsidRPr="00023A1C" w:rsidRDefault="0098596C" w:rsidP="00120F9E">
            <w:pPr>
              <w:pStyle w:val="1"/>
              <w:ind w:left="0"/>
              <w:jc w:val="both"/>
              <w:rPr>
                <w:b w:val="0"/>
                <w:bCs w:val="0"/>
                <w:sz w:val="20"/>
                <w:szCs w:val="20"/>
              </w:rPr>
            </w:pPr>
            <w:r w:rsidRPr="00023A1C">
              <w:rPr>
                <w:b w:val="0"/>
                <w:bCs w:val="0"/>
                <w:sz w:val="20"/>
                <w:szCs w:val="20"/>
              </w:rPr>
              <w:lastRenderedPageBreak/>
              <w:t>Материал излагается фрагментарно, с нарушением логической последовательности, допущены фактические и смысловые неточности, теоретические знания инженерно-</w:t>
            </w:r>
            <w:r w:rsidRPr="00023A1C">
              <w:rPr>
                <w:b w:val="0"/>
                <w:bCs w:val="0"/>
                <w:sz w:val="20"/>
                <w:szCs w:val="20"/>
              </w:rPr>
              <w:lastRenderedPageBreak/>
              <w:t>технического профиля использованы поверхностно.</w:t>
            </w:r>
          </w:p>
        </w:tc>
        <w:tc>
          <w:tcPr>
            <w:tcW w:w="1842" w:type="dxa"/>
          </w:tcPr>
          <w:p w14:paraId="6DD93C78" w14:textId="77777777" w:rsidR="0098596C" w:rsidRPr="00023A1C" w:rsidRDefault="0098596C" w:rsidP="00120F9E">
            <w:pPr>
              <w:pStyle w:val="1"/>
              <w:ind w:left="0"/>
              <w:jc w:val="both"/>
              <w:rPr>
                <w:b w:val="0"/>
                <w:bCs w:val="0"/>
                <w:sz w:val="20"/>
                <w:szCs w:val="20"/>
              </w:rPr>
            </w:pPr>
            <w:r w:rsidRPr="00023A1C">
              <w:rPr>
                <w:b w:val="0"/>
                <w:bCs w:val="0"/>
                <w:sz w:val="20"/>
                <w:szCs w:val="20"/>
              </w:rPr>
              <w:lastRenderedPageBreak/>
              <w:t>Нерациональный метод решения задачи или недостаточно продуманный план ответа; неумение решать задачи, выполнять задания в общем виде; допущение ошибок и недочетов, превосходящее норму</w:t>
            </w:r>
          </w:p>
        </w:tc>
        <w:tc>
          <w:tcPr>
            <w:tcW w:w="1330" w:type="dxa"/>
          </w:tcPr>
          <w:p w14:paraId="41F1C4F3" w14:textId="77777777" w:rsidR="0098596C" w:rsidRPr="00023A1C" w:rsidRDefault="0098596C" w:rsidP="00120F9E">
            <w:pPr>
              <w:pStyle w:val="1"/>
              <w:ind w:left="0"/>
              <w:jc w:val="both"/>
              <w:rPr>
                <w:b w:val="0"/>
                <w:bCs w:val="0"/>
                <w:sz w:val="20"/>
                <w:szCs w:val="20"/>
              </w:rPr>
            </w:pPr>
            <w:r w:rsidRPr="00023A1C">
              <w:rPr>
                <w:b w:val="0"/>
                <w:bCs w:val="0"/>
                <w:sz w:val="20"/>
                <w:szCs w:val="20"/>
              </w:rPr>
              <w:t xml:space="preserve">Неумение применять знания, алгоритмы для решения задач; неумение делать выводы и обобщения. Нарушение Правил проведения итогового </w:t>
            </w:r>
            <w:r w:rsidRPr="00023A1C">
              <w:rPr>
                <w:b w:val="0"/>
                <w:bCs w:val="0"/>
                <w:sz w:val="20"/>
                <w:szCs w:val="20"/>
              </w:rPr>
              <w:lastRenderedPageBreak/>
              <w:t>контроля..</w:t>
            </w:r>
          </w:p>
        </w:tc>
      </w:tr>
      <w:tr w:rsidR="0098596C" w14:paraId="3EDF1C67" w14:textId="77777777" w:rsidTr="00120F9E">
        <w:tc>
          <w:tcPr>
            <w:tcW w:w="1483" w:type="dxa"/>
          </w:tcPr>
          <w:p w14:paraId="4BEF3012" w14:textId="77777777" w:rsidR="0098596C" w:rsidRPr="00E2412B" w:rsidRDefault="0098596C" w:rsidP="00120F9E">
            <w:pPr>
              <w:pStyle w:val="1"/>
              <w:ind w:left="0"/>
              <w:jc w:val="both"/>
              <w:rPr>
                <w:b w:val="0"/>
                <w:bCs w:val="0"/>
                <w:sz w:val="20"/>
                <w:szCs w:val="20"/>
              </w:rPr>
            </w:pPr>
            <w:r w:rsidRPr="00E2412B">
              <w:rPr>
                <w:b w:val="0"/>
                <w:bCs w:val="0"/>
                <w:sz w:val="20"/>
                <w:szCs w:val="20"/>
              </w:rPr>
              <w:lastRenderedPageBreak/>
              <w:t>3. Оценивание и анализ применимости выбранной методики к предложенной практической задаче, обоснование полученного результата</w:t>
            </w:r>
          </w:p>
        </w:tc>
        <w:tc>
          <w:tcPr>
            <w:tcW w:w="1417" w:type="dxa"/>
          </w:tcPr>
          <w:p w14:paraId="321404C5" w14:textId="77777777" w:rsidR="0098596C" w:rsidRPr="00E2412B" w:rsidRDefault="0098596C" w:rsidP="00120F9E">
            <w:pPr>
              <w:pStyle w:val="1"/>
              <w:ind w:left="0"/>
              <w:jc w:val="both"/>
              <w:rPr>
                <w:b w:val="0"/>
                <w:bCs w:val="0"/>
                <w:sz w:val="20"/>
                <w:szCs w:val="20"/>
              </w:rPr>
            </w:pPr>
            <w:r w:rsidRPr="00E2412B">
              <w:rPr>
                <w:b w:val="0"/>
                <w:bCs w:val="0"/>
                <w:sz w:val="20"/>
                <w:szCs w:val="20"/>
              </w:rPr>
              <w:t>Последовательное, логичное и правильное обоснование научных положений и примененной методики и технологии, грамотность, соблюдение норм литературного языка, допускаются 1-2 неточности в изложении материала, которые не влияют на верные в целом выводы, визуализация результатов обоснования посредством графических данных</w:t>
            </w:r>
          </w:p>
        </w:tc>
        <w:tc>
          <w:tcPr>
            <w:tcW w:w="1559" w:type="dxa"/>
          </w:tcPr>
          <w:p w14:paraId="4507D86D" w14:textId="77777777" w:rsidR="0098596C" w:rsidRPr="00E2412B" w:rsidRDefault="0098596C" w:rsidP="00120F9E">
            <w:pPr>
              <w:pStyle w:val="1"/>
              <w:ind w:left="0"/>
              <w:jc w:val="both"/>
              <w:rPr>
                <w:b w:val="0"/>
                <w:bCs w:val="0"/>
                <w:sz w:val="20"/>
                <w:szCs w:val="20"/>
              </w:rPr>
            </w:pPr>
            <w:r w:rsidRPr="00E2412B">
              <w:rPr>
                <w:b w:val="0"/>
                <w:bCs w:val="0"/>
                <w:sz w:val="20"/>
                <w:szCs w:val="20"/>
              </w:rPr>
              <w:t>Допускаются 3-4 неточности в использовании понятийного материала, незначительные погрешности в обобщениях и выводах, которые не влияют на хороший общий уровень выполнения задания.</w:t>
            </w:r>
          </w:p>
        </w:tc>
        <w:tc>
          <w:tcPr>
            <w:tcW w:w="1560" w:type="dxa"/>
          </w:tcPr>
          <w:p w14:paraId="5906A5C9" w14:textId="77777777" w:rsidR="0098596C" w:rsidRPr="00E2412B" w:rsidRDefault="0098596C" w:rsidP="00120F9E">
            <w:pPr>
              <w:pStyle w:val="1"/>
              <w:ind w:left="0"/>
              <w:jc w:val="both"/>
              <w:rPr>
                <w:b w:val="0"/>
                <w:bCs w:val="0"/>
                <w:sz w:val="20"/>
                <w:szCs w:val="20"/>
              </w:rPr>
            </w:pPr>
            <w:r w:rsidRPr="00E2412B">
              <w:rPr>
                <w:b w:val="0"/>
                <w:bCs w:val="0"/>
                <w:sz w:val="20"/>
                <w:szCs w:val="20"/>
              </w:rPr>
              <w:t>Выводы по применимости обоснованных научных положений неконкретны и неубедительны, имеются стилистические и грамматические ошибки, а также неточности в обработке результатов физических измерений;</w:t>
            </w:r>
          </w:p>
        </w:tc>
        <w:tc>
          <w:tcPr>
            <w:tcW w:w="1842" w:type="dxa"/>
          </w:tcPr>
          <w:p w14:paraId="6F130834" w14:textId="77777777" w:rsidR="0098596C" w:rsidRPr="00E2412B" w:rsidRDefault="0098596C" w:rsidP="00120F9E">
            <w:pPr>
              <w:pStyle w:val="1"/>
              <w:ind w:left="0"/>
              <w:jc w:val="both"/>
              <w:rPr>
                <w:b w:val="0"/>
                <w:bCs w:val="0"/>
                <w:sz w:val="20"/>
                <w:szCs w:val="20"/>
              </w:rPr>
            </w:pPr>
            <w:r w:rsidRPr="00E2412B">
              <w:rPr>
                <w:b w:val="0"/>
                <w:bCs w:val="0"/>
                <w:sz w:val="20"/>
                <w:szCs w:val="20"/>
              </w:rPr>
              <w:t>Задание выполнено с грубейшими ошибками, ответы на вопросы неполные, понятийный материал и аргументация использованы слабо.</w:t>
            </w:r>
          </w:p>
        </w:tc>
        <w:tc>
          <w:tcPr>
            <w:tcW w:w="1330" w:type="dxa"/>
          </w:tcPr>
          <w:p w14:paraId="482E9A37" w14:textId="77777777" w:rsidR="0098596C" w:rsidRPr="00E2412B" w:rsidRDefault="0098596C" w:rsidP="00120F9E">
            <w:pPr>
              <w:pStyle w:val="1"/>
              <w:ind w:left="0"/>
              <w:jc w:val="both"/>
              <w:rPr>
                <w:b w:val="0"/>
                <w:bCs w:val="0"/>
                <w:sz w:val="20"/>
                <w:szCs w:val="20"/>
              </w:rPr>
            </w:pPr>
            <w:r w:rsidRPr="00E2412B">
              <w:rPr>
                <w:b w:val="0"/>
                <w:bCs w:val="0"/>
                <w:sz w:val="20"/>
                <w:szCs w:val="20"/>
              </w:rPr>
              <w:t>Задание не выполнено, отсутствуют ответы на поставленные вопросы, материалы и инструменты анализа не использованы. Нарушение Правил проведения итогового контроля.</w:t>
            </w:r>
          </w:p>
        </w:tc>
      </w:tr>
    </w:tbl>
    <w:p w14:paraId="52E64FE2" w14:textId="10516EE4" w:rsidR="00A904CA" w:rsidRPr="00086B7C" w:rsidRDefault="00A904CA" w:rsidP="00BA319A">
      <w:pPr>
        <w:rPr>
          <w:rFonts w:ascii="Times New Roman" w:hAnsi="Times New Roman" w:cs="Times New Roman"/>
          <w:sz w:val="24"/>
          <w:szCs w:val="24"/>
        </w:rPr>
      </w:pPr>
    </w:p>
    <w:p w14:paraId="3D7D39FC" w14:textId="77777777" w:rsidR="00555DF4" w:rsidRPr="00086B7C" w:rsidRDefault="00555DF4" w:rsidP="00555DF4">
      <w:pPr>
        <w:spacing w:after="0" w:line="240" w:lineRule="auto"/>
        <w:rPr>
          <w:rFonts w:ascii="Times New Roman" w:hAnsi="Times New Roman" w:cs="Times New Roman"/>
          <w:sz w:val="24"/>
          <w:szCs w:val="24"/>
          <w:lang w:val="kk-KZ"/>
        </w:rPr>
      </w:pPr>
      <w:r w:rsidRPr="00086B7C">
        <w:rPr>
          <w:rFonts w:ascii="Times New Roman" w:hAnsi="Times New Roman" w:cs="Times New Roman"/>
          <w:b/>
          <w:bCs/>
          <w:color w:val="000000"/>
          <w:sz w:val="24"/>
          <w:szCs w:val="24"/>
        </w:rPr>
        <w:t xml:space="preserve">Литература: </w:t>
      </w:r>
      <w:r w:rsidRPr="00086B7C">
        <w:rPr>
          <w:rFonts w:ascii="Times New Roman" w:hAnsi="Times New Roman" w:cs="Times New Roman"/>
          <w:color w:val="000000"/>
          <w:sz w:val="24"/>
          <w:szCs w:val="24"/>
        </w:rPr>
        <w:t>о</w:t>
      </w:r>
      <w:r w:rsidRPr="00086B7C">
        <w:rPr>
          <w:rFonts w:ascii="Times New Roman" w:hAnsi="Times New Roman" w:cs="Times New Roman"/>
          <w:color w:val="000000" w:themeColor="text1"/>
          <w:sz w:val="24"/>
          <w:szCs w:val="24"/>
          <w:lang w:val="kk-KZ"/>
        </w:rPr>
        <w:t>сновная:</w:t>
      </w:r>
    </w:p>
    <w:p w14:paraId="082640A2"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sz w:val="24"/>
          <w:szCs w:val="24"/>
        </w:rPr>
      </w:pPr>
      <w:r w:rsidRPr="00086B7C">
        <w:rPr>
          <w:rFonts w:ascii="Times New Roman" w:hAnsi="Times New Roman" w:cs="Times New Roman"/>
          <w:sz w:val="24"/>
          <w:szCs w:val="24"/>
        </w:rPr>
        <w:t xml:space="preserve">1.Котелевцев, С. В. Экологическая токсикология и биотестирование водных </w:t>
      </w:r>
      <w:proofErr w:type="gramStart"/>
      <w:r w:rsidRPr="00086B7C">
        <w:rPr>
          <w:rFonts w:ascii="Times New Roman" w:hAnsi="Times New Roman" w:cs="Times New Roman"/>
          <w:sz w:val="24"/>
          <w:szCs w:val="24"/>
        </w:rPr>
        <w:t>экосистем :</w:t>
      </w:r>
      <w:proofErr w:type="gramEnd"/>
      <w:r w:rsidRPr="00086B7C">
        <w:rPr>
          <w:rFonts w:ascii="Times New Roman" w:hAnsi="Times New Roman" w:cs="Times New Roman"/>
          <w:sz w:val="24"/>
          <w:szCs w:val="24"/>
        </w:rPr>
        <w:t xml:space="preserve"> учеб. пособие / С.В. </w:t>
      </w:r>
      <w:proofErr w:type="spellStart"/>
      <w:r w:rsidRPr="00086B7C">
        <w:rPr>
          <w:rFonts w:ascii="Times New Roman" w:hAnsi="Times New Roman" w:cs="Times New Roman"/>
          <w:sz w:val="24"/>
          <w:szCs w:val="24"/>
        </w:rPr>
        <w:t>Котелевцев</w:t>
      </w:r>
      <w:proofErr w:type="spellEnd"/>
      <w:r w:rsidRPr="00086B7C">
        <w:rPr>
          <w:rFonts w:ascii="Times New Roman" w:hAnsi="Times New Roman" w:cs="Times New Roman"/>
          <w:sz w:val="24"/>
          <w:szCs w:val="24"/>
        </w:rPr>
        <w:t>, Д.Н. Маторин, А.П. Садчиков. -</w:t>
      </w:r>
      <w:proofErr w:type="gramStart"/>
      <w:r w:rsidRPr="00086B7C">
        <w:rPr>
          <w:rFonts w:ascii="Times New Roman" w:hAnsi="Times New Roman" w:cs="Times New Roman"/>
          <w:sz w:val="24"/>
          <w:szCs w:val="24"/>
        </w:rPr>
        <w:t>Москва :</w:t>
      </w:r>
      <w:proofErr w:type="gramEnd"/>
      <w:r w:rsidRPr="00086B7C">
        <w:rPr>
          <w:rFonts w:ascii="Times New Roman" w:hAnsi="Times New Roman" w:cs="Times New Roman"/>
          <w:sz w:val="24"/>
          <w:szCs w:val="24"/>
        </w:rPr>
        <w:t xml:space="preserve"> ИНФРА-М, 2015. - 252 с. </w:t>
      </w:r>
    </w:p>
    <w:p w14:paraId="3E8A304A"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sz w:val="24"/>
          <w:szCs w:val="24"/>
        </w:rPr>
      </w:pPr>
      <w:r w:rsidRPr="00086B7C">
        <w:rPr>
          <w:rFonts w:ascii="Times New Roman" w:hAnsi="Times New Roman" w:cs="Times New Roman"/>
          <w:sz w:val="24"/>
          <w:szCs w:val="24"/>
        </w:rPr>
        <w:t xml:space="preserve"> 2.Собгайда, Н.А. Методы контроля качества окружающей среды: Учебное пособие / Н.А. </w:t>
      </w:r>
      <w:proofErr w:type="spellStart"/>
      <w:r w:rsidRPr="00086B7C">
        <w:rPr>
          <w:rFonts w:ascii="Times New Roman" w:hAnsi="Times New Roman" w:cs="Times New Roman"/>
          <w:sz w:val="24"/>
          <w:szCs w:val="24"/>
        </w:rPr>
        <w:t>Собгайда</w:t>
      </w:r>
      <w:proofErr w:type="spellEnd"/>
      <w:r w:rsidRPr="00086B7C">
        <w:rPr>
          <w:rFonts w:ascii="Times New Roman" w:hAnsi="Times New Roman" w:cs="Times New Roman"/>
          <w:sz w:val="24"/>
          <w:szCs w:val="24"/>
        </w:rPr>
        <w:t xml:space="preserve">. - </w:t>
      </w:r>
      <w:proofErr w:type="gramStart"/>
      <w:r w:rsidRPr="00086B7C">
        <w:rPr>
          <w:rFonts w:ascii="Times New Roman" w:hAnsi="Times New Roman" w:cs="Times New Roman"/>
          <w:sz w:val="24"/>
          <w:szCs w:val="24"/>
        </w:rPr>
        <w:t>Москва :</w:t>
      </w:r>
      <w:proofErr w:type="gramEnd"/>
      <w:r w:rsidRPr="00086B7C">
        <w:rPr>
          <w:rFonts w:ascii="Times New Roman" w:hAnsi="Times New Roman" w:cs="Times New Roman"/>
          <w:sz w:val="24"/>
          <w:szCs w:val="24"/>
        </w:rPr>
        <w:t xml:space="preserve"> Форум: ИНФРА-М, 2016. - 112 с.</w:t>
      </w:r>
    </w:p>
    <w:p w14:paraId="566B4B84"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sz w:val="24"/>
          <w:szCs w:val="24"/>
        </w:rPr>
      </w:pPr>
      <w:r w:rsidRPr="00086B7C">
        <w:rPr>
          <w:rFonts w:ascii="Times New Roman" w:hAnsi="Times New Roman" w:cs="Times New Roman"/>
          <w:sz w:val="24"/>
          <w:szCs w:val="24"/>
        </w:rPr>
        <w:t xml:space="preserve">3.Груздев, В. С. </w:t>
      </w:r>
      <w:proofErr w:type="spellStart"/>
      <w:r w:rsidRPr="00086B7C">
        <w:rPr>
          <w:rFonts w:ascii="Times New Roman" w:hAnsi="Times New Roman" w:cs="Times New Roman"/>
          <w:sz w:val="24"/>
          <w:szCs w:val="24"/>
        </w:rPr>
        <w:t>Биоиндикация</w:t>
      </w:r>
      <w:proofErr w:type="spellEnd"/>
      <w:r w:rsidRPr="00086B7C">
        <w:rPr>
          <w:rFonts w:ascii="Times New Roman" w:hAnsi="Times New Roman" w:cs="Times New Roman"/>
          <w:sz w:val="24"/>
          <w:szCs w:val="24"/>
        </w:rPr>
        <w:t xml:space="preserve"> состояния окружающей </w:t>
      </w:r>
      <w:proofErr w:type="gramStart"/>
      <w:r w:rsidRPr="00086B7C">
        <w:rPr>
          <w:rFonts w:ascii="Times New Roman" w:hAnsi="Times New Roman" w:cs="Times New Roman"/>
          <w:sz w:val="24"/>
          <w:szCs w:val="24"/>
        </w:rPr>
        <w:t>среды :</w:t>
      </w:r>
      <w:proofErr w:type="gramEnd"/>
      <w:r w:rsidRPr="00086B7C">
        <w:rPr>
          <w:rFonts w:ascii="Times New Roman" w:hAnsi="Times New Roman" w:cs="Times New Roman"/>
          <w:sz w:val="24"/>
          <w:szCs w:val="24"/>
        </w:rPr>
        <w:t xml:space="preserve"> монография / В.С. Груздев. - </w:t>
      </w:r>
      <w:proofErr w:type="gramStart"/>
      <w:r w:rsidRPr="00086B7C">
        <w:rPr>
          <w:rFonts w:ascii="Times New Roman" w:hAnsi="Times New Roman" w:cs="Times New Roman"/>
          <w:sz w:val="24"/>
          <w:szCs w:val="24"/>
        </w:rPr>
        <w:t>Москва :</w:t>
      </w:r>
      <w:proofErr w:type="gramEnd"/>
      <w:r w:rsidRPr="00086B7C">
        <w:rPr>
          <w:rFonts w:ascii="Times New Roman" w:hAnsi="Times New Roman" w:cs="Times New Roman"/>
          <w:sz w:val="24"/>
          <w:szCs w:val="24"/>
        </w:rPr>
        <w:t xml:space="preserve"> ИНФРА-М, 2020. - 160 с. - (Научная мысль). - www.dx.doi.org/10.12737/monography_5a6f02e2738690.08466285. - ISBN 978-5-16-013797-1. - </w:t>
      </w:r>
      <w:proofErr w:type="gramStart"/>
      <w:r w:rsidRPr="00086B7C">
        <w:rPr>
          <w:rFonts w:ascii="Times New Roman" w:hAnsi="Times New Roman" w:cs="Times New Roman"/>
          <w:sz w:val="24"/>
          <w:szCs w:val="24"/>
        </w:rPr>
        <w:t>Текст :</w:t>
      </w:r>
      <w:proofErr w:type="gramEnd"/>
      <w:r w:rsidRPr="00086B7C">
        <w:rPr>
          <w:rFonts w:ascii="Times New Roman" w:hAnsi="Times New Roman" w:cs="Times New Roman"/>
          <w:sz w:val="24"/>
          <w:szCs w:val="24"/>
        </w:rPr>
        <w:t xml:space="preserve"> электронный. - URL: </w:t>
      </w:r>
    </w:p>
    <w:p w14:paraId="6D3CEF7A"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color w:val="000000"/>
          <w:sz w:val="24"/>
          <w:szCs w:val="24"/>
        </w:rPr>
      </w:pPr>
      <w:r w:rsidRPr="00086B7C">
        <w:rPr>
          <w:rFonts w:ascii="Times New Roman" w:hAnsi="Times New Roman" w:cs="Times New Roman"/>
          <w:sz w:val="24"/>
          <w:szCs w:val="24"/>
        </w:rPr>
        <w:t xml:space="preserve">4. </w:t>
      </w:r>
      <w:proofErr w:type="spellStart"/>
      <w:r w:rsidRPr="00086B7C">
        <w:rPr>
          <w:rFonts w:ascii="Times New Roman" w:hAnsi="Times New Roman" w:cs="Times New Roman"/>
          <w:sz w:val="24"/>
          <w:szCs w:val="24"/>
        </w:rPr>
        <w:t>Реховская</w:t>
      </w:r>
      <w:proofErr w:type="spellEnd"/>
      <w:r w:rsidRPr="00086B7C">
        <w:rPr>
          <w:rFonts w:ascii="Times New Roman" w:hAnsi="Times New Roman" w:cs="Times New Roman"/>
          <w:sz w:val="24"/>
          <w:szCs w:val="24"/>
        </w:rPr>
        <w:t>, Е. О. Экологическая токсикология [Электронный ресурс</w:t>
      </w:r>
      <w:proofErr w:type="gramStart"/>
      <w:r w:rsidRPr="00086B7C">
        <w:rPr>
          <w:rFonts w:ascii="Times New Roman" w:hAnsi="Times New Roman" w:cs="Times New Roman"/>
          <w:sz w:val="24"/>
          <w:szCs w:val="24"/>
        </w:rPr>
        <w:t>] :</w:t>
      </w:r>
      <w:proofErr w:type="gramEnd"/>
      <w:r w:rsidRPr="00086B7C">
        <w:rPr>
          <w:rFonts w:ascii="Times New Roman" w:hAnsi="Times New Roman" w:cs="Times New Roman"/>
          <w:sz w:val="24"/>
          <w:szCs w:val="24"/>
        </w:rPr>
        <w:t xml:space="preserve"> учебное пособие / Е. О. </w:t>
      </w:r>
      <w:proofErr w:type="spellStart"/>
      <w:r w:rsidRPr="00086B7C">
        <w:rPr>
          <w:rFonts w:ascii="Times New Roman" w:hAnsi="Times New Roman" w:cs="Times New Roman"/>
          <w:sz w:val="24"/>
          <w:szCs w:val="24"/>
        </w:rPr>
        <w:t>Реховская</w:t>
      </w:r>
      <w:proofErr w:type="spellEnd"/>
      <w:r w:rsidRPr="00086B7C">
        <w:rPr>
          <w:rFonts w:ascii="Times New Roman" w:hAnsi="Times New Roman" w:cs="Times New Roman"/>
          <w:sz w:val="24"/>
          <w:szCs w:val="24"/>
        </w:rPr>
        <w:t xml:space="preserve"> ; Минобрнауки России, Омский государственный технический университет. - </w:t>
      </w:r>
      <w:proofErr w:type="gramStart"/>
      <w:r w:rsidRPr="00086B7C">
        <w:rPr>
          <w:rFonts w:ascii="Times New Roman" w:hAnsi="Times New Roman" w:cs="Times New Roman"/>
          <w:sz w:val="24"/>
          <w:szCs w:val="24"/>
        </w:rPr>
        <w:t>Омск :</w:t>
      </w:r>
      <w:proofErr w:type="gramEnd"/>
      <w:r w:rsidRPr="00086B7C">
        <w:rPr>
          <w:rFonts w:ascii="Times New Roman" w:hAnsi="Times New Roman" w:cs="Times New Roman"/>
          <w:sz w:val="24"/>
          <w:szCs w:val="24"/>
        </w:rPr>
        <w:t xml:space="preserve"> ОмГТУ, 2017. - 117 с.</w:t>
      </w:r>
    </w:p>
    <w:p w14:paraId="55BC0412"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color w:val="000000"/>
          <w:sz w:val="24"/>
          <w:szCs w:val="24"/>
        </w:rPr>
      </w:pPr>
      <w:r w:rsidRPr="00086B7C">
        <w:rPr>
          <w:rFonts w:ascii="Times New Roman" w:hAnsi="Times New Roman" w:cs="Times New Roman"/>
          <w:color w:val="000000"/>
          <w:sz w:val="24"/>
          <w:szCs w:val="24"/>
        </w:rPr>
        <w:t>Дополнительная:</w:t>
      </w:r>
    </w:p>
    <w:p w14:paraId="28F4FDFB"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sz w:val="24"/>
          <w:szCs w:val="24"/>
        </w:rPr>
      </w:pPr>
      <w:r w:rsidRPr="00086B7C">
        <w:rPr>
          <w:rFonts w:ascii="Times New Roman" w:hAnsi="Times New Roman" w:cs="Times New Roman"/>
          <w:sz w:val="24"/>
          <w:szCs w:val="24"/>
        </w:rPr>
        <w:t xml:space="preserve">1.Опекунова, М.Г. </w:t>
      </w:r>
      <w:proofErr w:type="spellStart"/>
      <w:r w:rsidRPr="00086B7C">
        <w:rPr>
          <w:rFonts w:ascii="Times New Roman" w:hAnsi="Times New Roman" w:cs="Times New Roman"/>
          <w:sz w:val="24"/>
          <w:szCs w:val="24"/>
        </w:rPr>
        <w:t>Биоиндикация</w:t>
      </w:r>
      <w:proofErr w:type="spellEnd"/>
      <w:r w:rsidRPr="00086B7C">
        <w:rPr>
          <w:rFonts w:ascii="Times New Roman" w:hAnsi="Times New Roman" w:cs="Times New Roman"/>
          <w:sz w:val="24"/>
          <w:szCs w:val="24"/>
        </w:rPr>
        <w:t xml:space="preserve"> загрязнений: Учебное пособие / </w:t>
      </w:r>
      <w:proofErr w:type="gramStart"/>
      <w:r w:rsidRPr="00086B7C">
        <w:rPr>
          <w:rFonts w:ascii="Times New Roman" w:hAnsi="Times New Roman" w:cs="Times New Roman"/>
          <w:sz w:val="24"/>
          <w:szCs w:val="24"/>
        </w:rPr>
        <w:t>М.Г.</w:t>
      </w:r>
      <w:proofErr w:type="gramEnd"/>
      <w:r w:rsidRPr="00086B7C">
        <w:rPr>
          <w:rFonts w:ascii="Times New Roman" w:hAnsi="Times New Roman" w:cs="Times New Roman"/>
          <w:sz w:val="24"/>
          <w:szCs w:val="24"/>
        </w:rPr>
        <w:t xml:space="preserve"> </w:t>
      </w:r>
      <w:proofErr w:type="spellStart"/>
      <w:r w:rsidRPr="00086B7C">
        <w:rPr>
          <w:rFonts w:ascii="Times New Roman" w:hAnsi="Times New Roman" w:cs="Times New Roman"/>
          <w:sz w:val="24"/>
          <w:szCs w:val="24"/>
        </w:rPr>
        <w:t>Опекунова</w:t>
      </w:r>
      <w:proofErr w:type="spellEnd"/>
      <w:r w:rsidRPr="00086B7C">
        <w:rPr>
          <w:rFonts w:ascii="Times New Roman" w:hAnsi="Times New Roman" w:cs="Times New Roman"/>
          <w:sz w:val="24"/>
          <w:szCs w:val="24"/>
        </w:rPr>
        <w:t xml:space="preserve">. - Санкт-Петербург: СПбГУ, 2016. - 300 с.- ISBN 978-5-288-05674-1. - </w:t>
      </w:r>
      <w:proofErr w:type="gramStart"/>
      <w:r w:rsidRPr="00086B7C">
        <w:rPr>
          <w:rFonts w:ascii="Times New Roman" w:hAnsi="Times New Roman" w:cs="Times New Roman"/>
          <w:sz w:val="24"/>
          <w:szCs w:val="24"/>
        </w:rPr>
        <w:t>Текст :</w:t>
      </w:r>
      <w:proofErr w:type="gramEnd"/>
      <w:r w:rsidRPr="00086B7C">
        <w:rPr>
          <w:rFonts w:ascii="Times New Roman" w:hAnsi="Times New Roman" w:cs="Times New Roman"/>
          <w:sz w:val="24"/>
          <w:szCs w:val="24"/>
        </w:rPr>
        <w:t xml:space="preserve"> электронный. - URL: https://znanium.com/catalog/product/941411 (дата обращения: 25.05.2021)   </w:t>
      </w:r>
    </w:p>
    <w:p w14:paraId="59C05F0C"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color w:val="000000"/>
          <w:sz w:val="24"/>
          <w:szCs w:val="24"/>
        </w:rPr>
      </w:pPr>
      <w:r w:rsidRPr="00086B7C">
        <w:rPr>
          <w:rFonts w:ascii="Times New Roman" w:hAnsi="Times New Roman" w:cs="Times New Roman"/>
          <w:sz w:val="24"/>
          <w:szCs w:val="24"/>
        </w:rPr>
        <w:lastRenderedPageBreak/>
        <w:t xml:space="preserve">2. Шевцова, Н.С. Стандарты качества окружающей среды: Учебное пособие / </w:t>
      </w:r>
      <w:proofErr w:type="gramStart"/>
      <w:r w:rsidRPr="00086B7C">
        <w:rPr>
          <w:rFonts w:ascii="Times New Roman" w:hAnsi="Times New Roman" w:cs="Times New Roman"/>
          <w:sz w:val="24"/>
          <w:szCs w:val="24"/>
        </w:rPr>
        <w:t>Н.С.</w:t>
      </w:r>
      <w:proofErr w:type="gramEnd"/>
      <w:r w:rsidRPr="00086B7C">
        <w:rPr>
          <w:rFonts w:ascii="Times New Roman" w:hAnsi="Times New Roman" w:cs="Times New Roman"/>
          <w:sz w:val="24"/>
          <w:szCs w:val="24"/>
        </w:rPr>
        <w:t xml:space="preserve"> Шевцова, Ю.Л. Шевцов, Н.Л. Бацукова; Под ред. М.Г. </w:t>
      </w:r>
      <w:proofErr w:type="spellStart"/>
      <w:r w:rsidRPr="00086B7C">
        <w:rPr>
          <w:rFonts w:ascii="Times New Roman" w:hAnsi="Times New Roman" w:cs="Times New Roman"/>
          <w:sz w:val="24"/>
          <w:szCs w:val="24"/>
        </w:rPr>
        <w:t>Ясовеева</w:t>
      </w:r>
      <w:proofErr w:type="spellEnd"/>
      <w:r w:rsidRPr="00086B7C">
        <w:rPr>
          <w:rFonts w:ascii="Times New Roman" w:hAnsi="Times New Roman" w:cs="Times New Roman"/>
          <w:sz w:val="24"/>
          <w:szCs w:val="24"/>
        </w:rPr>
        <w:t>. - Москва: ИНФРА-М, Минск: Нов. знание, 2015. - 156 с</w:t>
      </w:r>
    </w:p>
    <w:p w14:paraId="440B3988"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color w:val="FF0000"/>
          <w:sz w:val="24"/>
          <w:szCs w:val="24"/>
        </w:rPr>
      </w:pPr>
      <w:r w:rsidRPr="00086B7C">
        <w:rPr>
          <w:rFonts w:ascii="Times New Roman" w:hAnsi="Times New Roman" w:cs="Times New Roman"/>
          <w:b/>
          <w:bCs/>
          <w:color w:val="000000"/>
          <w:sz w:val="24"/>
          <w:szCs w:val="24"/>
        </w:rPr>
        <w:t xml:space="preserve">Интернет-ресурсы </w:t>
      </w:r>
    </w:p>
    <w:p w14:paraId="7DAAFF01" w14:textId="77777777" w:rsidR="00555DF4" w:rsidRPr="00086B7C" w:rsidRDefault="00555DF4" w:rsidP="00555DF4">
      <w:pPr>
        <w:pStyle w:val="a5"/>
        <w:widowControl/>
        <w:numPr>
          <w:ilvl w:val="0"/>
          <w:numId w:val="3"/>
        </w:numPr>
        <w:shd w:val="clear" w:color="auto" w:fill="FFFFFF"/>
        <w:tabs>
          <w:tab w:val="left" w:pos="395"/>
        </w:tabs>
        <w:autoSpaceDE/>
        <w:autoSpaceDN/>
        <w:ind w:right="0"/>
        <w:contextualSpacing/>
        <w:rPr>
          <w:rFonts w:ascii="Times New Roman" w:hAnsi="Times New Roman" w:cs="Times New Roman"/>
          <w:color w:val="2F5496" w:themeColor="accent1" w:themeShade="BF"/>
          <w:sz w:val="24"/>
          <w:szCs w:val="24"/>
        </w:rPr>
      </w:pPr>
      <w:r w:rsidRPr="00086B7C">
        <w:rPr>
          <w:rFonts w:ascii="Times New Roman" w:hAnsi="Times New Roman" w:cs="Times New Roman"/>
          <w:color w:val="2F5496" w:themeColor="accent1" w:themeShade="BF"/>
          <w:sz w:val="24"/>
          <w:szCs w:val="24"/>
        </w:rPr>
        <w:t xml:space="preserve"> </w:t>
      </w:r>
      <w:hyperlink r:id="rId7" w:history="1">
        <w:r w:rsidRPr="00086B7C">
          <w:rPr>
            <w:rStyle w:val="a8"/>
            <w:rFonts w:ascii="Times New Roman" w:hAnsi="Times New Roman" w:cs="Times New Roman"/>
            <w:color w:val="2F5496" w:themeColor="accent1" w:themeShade="BF"/>
            <w:sz w:val="24"/>
            <w:szCs w:val="24"/>
          </w:rPr>
          <w:t xml:space="preserve">http://elibrary.kaznu.kz/ru/ </w:t>
        </w:r>
      </w:hyperlink>
    </w:p>
    <w:p w14:paraId="2405B915" w14:textId="77777777" w:rsidR="00555DF4" w:rsidRPr="00086B7C" w:rsidRDefault="0098596C" w:rsidP="00555DF4">
      <w:pPr>
        <w:pStyle w:val="a5"/>
        <w:widowControl/>
        <w:numPr>
          <w:ilvl w:val="0"/>
          <w:numId w:val="3"/>
        </w:numPr>
        <w:shd w:val="clear" w:color="auto" w:fill="FFFFFF"/>
        <w:tabs>
          <w:tab w:val="left" w:pos="395"/>
        </w:tabs>
        <w:autoSpaceDE/>
        <w:autoSpaceDN/>
        <w:ind w:right="0"/>
        <w:contextualSpacing/>
        <w:rPr>
          <w:rFonts w:ascii="Times New Roman" w:hAnsi="Times New Roman" w:cs="Times New Roman"/>
          <w:color w:val="2F5496" w:themeColor="accent1" w:themeShade="BF"/>
          <w:sz w:val="24"/>
          <w:szCs w:val="24"/>
        </w:rPr>
      </w:pPr>
      <w:hyperlink r:id="rId8" w:history="1">
        <w:r w:rsidR="00555DF4" w:rsidRPr="00086B7C">
          <w:rPr>
            <w:rStyle w:val="a8"/>
            <w:rFonts w:ascii="Times New Roman" w:hAnsi="Times New Roman" w:cs="Times New Roman"/>
            <w:color w:val="2F5496" w:themeColor="accent1" w:themeShade="BF"/>
            <w:sz w:val="24"/>
            <w:szCs w:val="24"/>
          </w:rPr>
          <w:t>https://mosmetod.ru/</w:t>
        </w:r>
      </w:hyperlink>
    </w:p>
    <w:p w14:paraId="0A9A2DE1" w14:textId="77777777" w:rsidR="00555DF4" w:rsidRPr="00086B7C" w:rsidRDefault="00555DF4" w:rsidP="00555DF4">
      <w:pPr>
        <w:pStyle w:val="a5"/>
        <w:widowControl/>
        <w:numPr>
          <w:ilvl w:val="0"/>
          <w:numId w:val="3"/>
        </w:numPr>
        <w:shd w:val="clear" w:color="auto" w:fill="FFFFFF"/>
        <w:tabs>
          <w:tab w:val="left" w:pos="395"/>
        </w:tabs>
        <w:autoSpaceDE/>
        <w:autoSpaceDN/>
        <w:ind w:right="0"/>
        <w:contextualSpacing/>
        <w:rPr>
          <w:rFonts w:ascii="Times New Roman" w:hAnsi="Times New Roman" w:cs="Times New Roman"/>
          <w:color w:val="2F5496" w:themeColor="accent1" w:themeShade="BF"/>
          <w:sz w:val="24"/>
          <w:szCs w:val="24"/>
        </w:rPr>
      </w:pPr>
      <w:r w:rsidRPr="00086B7C">
        <w:rPr>
          <w:rFonts w:ascii="Times New Roman" w:hAnsi="Times New Roman" w:cs="Times New Roman"/>
          <w:color w:val="2F5496" w:themeColor="accent1" w:themeShade="BF"/>
          <w:sz w:val="24"/>
          <w:szCs w:val="24"/>
        </w:rPr>
        <w:t>https://works.doklad.ru/</w:t>
      </w:r>
    </w:p>
    <w:p w14:paraId="57DEBCA5" w14:textId="77777777" w:rsidR="00555DF4" w:rsidRPr="00086B7C" w:rsidRDefault="00555DF4" w:rsidP="00555DF4">
      <w:pPr>
        <w:pStyle w:val="a5"/>
        <w:widowControl/>
        <w:numPr>
          <w:ilvl w:val="0"/>
          <w:numId w:val="3"/>
        </w:numPr>
        <w:shd w:val="clear" w:color="auto" w:fill="FFFFFF"/>
        <w:tabs>
          <w:tab w:val="left" w:pos="395"/>
        </w:tabs>
        <w:autoSpaceDE/>
        <w:autoSpaceDN/>
        <w:ind w:right="0"/>
        <w:contextualSpacing/>
        <w:rPr>
          <w:rFonts w:ascii="Times New Roman" w:hAnsi="Times New Roman" w:cs="Times New Roman"/>
          <w:color w:val="2F5496" w:themeColor="accent1" w:themeShade="BF"/>
          <w:sz w:val="24"/>
          <w:szCs w:val="24"/>
          <w:lang w:val="en-US"/>
        </w:rPr>
      </w:pPr>
      <w:r w:rsidRPr="00086B7C">
        <w:rPr>
          <w:rFonts w:ascii="Times New Roman" w:hAnsi="Times New Roman" w:cs="Times New Roman"/>
          <w:color w:val="2F5496" w:themeColor="accent1" w:themeShade="BF"/>
          <w:sz w:val="24"/>
          <w:szCs w:val="24"/>
        </w:rPr>
        <w:t xml:space="preserve"> https:</w:t>
      </w:r>
      <w:hyperlink r:id="rId9" w:history="1">
        <w:r w:rsidRPr="00086B7C">
          <w:rPr>
            <w:rStyle w:val="a8"/>
            <w:rFonts w:ascii="Times New Roman" w:hAnsi="Times New Roman" w:cs="Times New Roman"/>
            <w:color w:val="2F5496" w:themeColor="accent1" w:themeShade="BF"/>
            <w:sz w:val="24"/>
            <w:szCs w:val="24"/>
            <w:lang w:val="en-US"/>
          </w:rPr>
          <w:t>//cyberleninka.ru/</w:t>
        </w:r>
      </w:hyperlink>
      <w:r w:rsidRPr="00086B7C">
        <w:rPr>
          <w:rFonts w:ascii="Times New Roman" w:hAnsi="Times New Roman" w:cs="Times New Roman"/>
          <w:color w:val="2F5496" w:themeColor="accent1" w:themeShade="BF"/>
          <w:sz w:val="24"/>
          <w:szCs w:val="24"/>
          <w:lang w:val="en-US"/>
        </w:rPr>
        <w:t xml:space="preserve"> </w:t>
      </w:r>
    </w:p>
    <w:p w14:paraId="71F24B79" w14:textId="77777777" w:rsidR="00555DF4" w:rsidRPr="00086B7C" w:rsidRDefault="00555DF4" w:rsidP="00555DF4">
      <w:pPr>
        <w:pStyle w:val="a5"/>
        <w:widowControl/>
        <w:numPr>
          <w:ilvl w:val="0"/>
          <w:numId w:val="3"/>
        </w:numPr>
        <w:shd w:val="clear" w:color="auto" w:fill="FFFFFF"/>
        <w:tabs>
          <w:tab w:val="left" w:pos="395"/>
        </w:tabs>
        <w:autoSpaceDE/>
        <w:autoSpaceDN/>
        <w:ind w:right="0"/>
        <w:contextualSpacing/>
        <w:rPr>
          <w:rStyle w:val="a8"/>
          <w:rFonts w:ascii="Times New Roman" w:hAnsi="Times New Roman" w:cs="Times New Roman"/>
          <w:color w:val="2F5496" w:themeColor="accent1" w:themeShade="BF"/>
          <w:sz w:val="24"/>
          <w:szCs w:val="24"/>
        </w:rPr>
      </w:pPr>
      <w:r w:rsidRPr="00086B7C">
        <w:rPr>
          <w:rFonts w:ascii="Times New Roman" w:hAnsi="Times New Roman" w:cs="Times New Roman"/>
          <w:color w:val="2F5496" w:themeColor="accent1" w:themeShade="BF"/>
          <w:sz w:val="24"/>
          <w:szCs w:val="24"/>
          <w:lang w:val="en-US"/>
        </w:rPr>
        <w:t> </w:t>
      </w:r>
      <w:hyperlink r:id="rId10" w:history="1">
        <w:r w:rsidRPr="00086B7C">
          <w:rPr>
            <w:rStyle w:val="a8"/>
            <w:rFonts w:ascii="Times New Roman" w:hAnsi="Times New Roman" w:cs="Times New Roman"/>
            <w:color w:val="2F5496" w:themeColor="accent1" w:themeShade="BF"/>
            <w:sz w:val="24"/>
            <w:szCs w:val="24"/>
            <w:lang w:val="en-US"/>
          </w:rPr>
          <w:t>https://research-journal.org/</w:t>
        </w:r>
      </w:hyperlink>
    </w:p>
    <w:p w14:paraId="3F19117F" w14:textId="5F58EFBF" w:rsidR="00926365" w:rsidRPr="00086B7C" w:rsidRDefault="00555DF4" w:rsidP="00555DF4">
      <w:pPr>
        <w:pStyle w:val="a5"/>
        <w:widowControl/>
        <w:numPr>
          <w:ilvl w:val="0"/>
          <w:numId w:val="3"/>
        </w:numPr>
        <w:shd w:val="clear" w:color="auto" w:fill="FFFFFF"/>
        <w:tabs>
          <w:tab w:val="left" w:pos="395"/>
        </w:tabs>
        <w:autoSpaceDE/>
        <w:autoSpaceDN/>
        <w:ind w:right="0"/>
        <w:contextualSpacing/>
        <w:rPr>
          <w:rFonts w:ascii="Times New Roman" w:hAnsi="Times New Roman" w:cs="Times New Roman"/>
          <w:color w:val="2F5496" w:themeColor="accent1" w:themeShade="BF"/>
          <w:sz w:val="24"/>
          <w:szCs w:val="24"/>
          <w:u w:val="single"/>
        </w:rPr>
      </w:pPr>
      <w:r w:rsidRPr="00086B7C">
        <w:rPr>
          <w:rFonts w:ascii="Times New Roman" w:hAnsi="Times New Roman" w:cs="Times New Roman"/>
          <w:color w:val="2F5496" w:themeColor="accent1" w:themeShade="BF"/>
          <w:sz w:val="24"/>
          <w:szCs w:val="24"/>
        </w:rPr>
        <w:t>https://www.twirpx.com/</w:t>
      </w:r>
    </w:p>
    <w:sectPr w:rsidR="00926365" w:rsidRPr="00086B7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F0EC" w14:textId="77777777" w:rsidR="009A44F3" w:rsidRDefault="009A44F3">
      <w:pPr>
        <w:spacing w:after="0" w:line="240" w:lineRule="auto"/>
      </w:pPr>
      <w:r>
        <w:separator/>
      </w:r>
    </w:p>
  </w:endnote>
  <w:endnote w:type="continuationSeparator" w:id="0">
    <w:p w14:paraId="2750A88C" w14:textId="77777777" w:rsidR="009A44F3" w:rsidRDefault="009A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05E6" w14:textId="77777777" w:rsidR="0098596C" w:rsidRDefault="0098596C">
    <w:pPr>
      <w:pStyle w:val="a3"/>
      <w:spacing w:line="14" w:lineRule="auto"/>
      <w:ind w:left="0"/>
      <w:rPr>
        <w:sz w:val="20"/>
      </w:rPr>
    </w:pPr>
    <w:r>
      <w:rPr>
        <w:noProof/>
      </w:rPr>
      <w:pict w14:anchorId="5DAAC95B">
        <v:shapetype id="_x0000_t202" coordsize="21600,21600" o:spt="202" path="m,l,21600r21600,l21600,xe">
          <v:stroke joinstyle="miter"/>
          <v:path gradientshapeok="t" o:connecttype="rect"/>
        </v:shapetype>
        <v:shape id="Надпись 1" o:spid="_x0000_s1025" type="#_x0000_t202" style="position:absolute;margin-left:544.3pt;margin-top:795.1pt;width:12.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" filled="f" stroked="f">
          <v:textbox inset="0,0,0,0">
            <w:txbxContent>
              <w:p w14:paraId="7BFB87D0" w14:textId="77777777" w:rsidR="0098596C" w:rsidRDefault="00986222">
                <w:pPr>
                  <w:spacing w:line="220"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F507" w14:textId="77777777" w:rsidR="009A44F3" w:rsidRDefault="009A44F3">
      <w:pPr>
        <w:spacing w:after="0" w:line="240" w:lineRule="auto"/>
      </w:pPr>
      <w:r>
        <w:separator/>
      </w:r>
    </w:p>
  </w:footnote>
  <w:footnote w:type="continuationSeparator" w:id="0">
    <w:p w14:paraId="05692C05" w14:textId="77777777" w:rsidR="009A44F3" w:rsidRDefault="009A4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7532"/>
    <w:multiLevelType w:val="hybridMultilevel"/>
    <w:tmpl w:val="17EC22B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1637439">
    <w:abstractNumId w:val="1"/>
  </w:num>
  <w:num w:numId="2" w16cid:durableId="1615017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3357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F5"/>
    <w:rsid w:val="00021DD4"/>
    <w:rsid w:val="000324FC"/>
    <w:rsid w:val="00086B7C"/>
    <w:rsid w:val="00154967"/>
    <w:rsid w:val="001B03AC"/>
    <w:rsid w:val="002520F5"/>
    <w:rsid w:val="002B6D49"/>
    <w:rsid w:val="00314F8E"/>
    <w:rsid w:val="003D4611"/>
    <w:rsid w:val="00424BEF"/>
    <w:rsid w:val="004D6D55"/>
    <w:rsid w:val="005275A7"/>
    <w:rsid w:val="00555DF4"/>
    <w:rsid w:val="005C71D8"/>
    <w:rsid w:val="006F6172"/>
    <w:rsid w:val="00767D79"/>
    <w:rsid w:val="007D471F"/>
    <w:rsid w:val="00833EF2"/>
    <w:rsid w:val="0086089E"/>
    <w:rsid w:val="00926365"/>
    <w:rsid w:val="0098596C"/>
    <w:rsid w:val="00986222"/>
    <w:rsid w:val="00991311"/>
    <w:rsid w:val="009A44F3"/>
    <w:rsid w:val="009D0195"/>
    <w:rsid w:val="00A7679E"/>
    <w:rsid w:val="00A904CA"/>
    <w:rsid w:val="00A95937"/>
    <w:rsid w:val="00AE213D"/>
    <w:rsid w:val="00BA319A"/>
    <w:rsid w:val="00CA4887"/>
    <w:rsid w:val="00D50E88"/>
    <w:rsid w:val="00E04FCC"/>
    <w:rsid w:val="00EF6DAC"/>
    <w:rsid w:val="00F7230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59D5"/>
  <w15:chartTrackingRefBased/>
  <w15:docId w15:val="{280E55F6-D5A4-4452-A737-F4BCD269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8596C"/>
    <w:pPr>
      <w:widowControl w:val="0"/>
      <w:autoSpaceDE w:val="0"/>
      <w:autoSpaceDN w:val="0"/>
      <w:spacing w:after="0" w:line="240" w:lineRule="auto"/>
      <w:ind w:left="841"/>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5937"/>
    <w:pPr>
      <w:widowControl w:val="0"/>
      <w:autoSpaceDE w:val="0"/>
      <w:autoSpaceDN w:val="0"/>
      <w:spacing w:after="0" w:line="240" w:lineRule="auto"/>
      <w:ind w:left="462"/>
    </w:pPr>
    <w:rPr>
      <w:rFonts w:ascii="Cambria Math" w:eastAsia="Cambria Math" w:hAnsi="Cambria Math" w:cs="Cambria Math"/>
      <w:sz w:val="24"/>
      <w:szCs w:val="24"/>
      <w:lang w:val="kk-KZ"/>
    </w:rPr>
  </w:style>
  <w:style w:type="character" w:customStyle="1" w:styleId="a4">
    <w:name w:val="Основной текст Знак"/>
    <w:basedOn w:val="a0"/>
    <w:link w:val="a3"/>
    <w:uiPriority w:val="1"/>
    <w:rsid w:val="00A95937"/>
    <w:rPr>
      <w:rFonts w:ascii="Cambria Math" w:eastAsia="Cambria Math" w:hAnsi="Cambria Math" w:cs="Cambria Math"/>
      <w:sz w:val="24"/>
      <w:szCs w:val="24"/>
      <w:lang w:val="kk-KZ"/>
    </w:rPr>
  </w:style>
  <w:style w:type="paragraph" w:styleId="a5">
    <w:name w:val="List Paragraph"/>
    <w:aliases w:val="без абзаца,маркированный,ПАРАГРАФ,List Paragraph"/>
    <w:basedOn w:val="a"/>
    <w:link w:val="a6"/>
    <w:uiPriority w:val="34"/>
    <w:qFormat/>
    <w:rsid w:val="00A904CA"/>
    <w:pPr>
      <w:widowControl w:val="0"/>
      <w:autoSpaceDE w:val="0"/>
      <w:autoSpaceDN w:val="0"/>
      <w:spacing w:after="0" w:line="240" w:lineRule="auto"/>
      <w:ind w:left="462" w:right="106" w:hanging="360"/>
      <w:jc w:val="both"/>
    </w:pPr>
    <w:rPr>
      <w:rFonts w:ascii="Cambria Math" w:eastAsia="Cambria Math" w:hAnsi="Cambria Math" w:cs="Cambria Math"/>
      <w:lang w:val="kk-KZ"/>
    </w:rPr>
  </w:style>
  <w:style w:type="paragraph" w:styleId="a7">
    <w:name w:val="No Spacing"/>
    <w:uiPriority w:val="1"/>
    <w:qFormat/>
    <w:rsid w:val="00A904CA"/>
    <w:pPr>
      <w:spacing w:after="0" w:line="240" w:lineRule="auto"/>
    </w:pPr>
    <w:rPr>
      <w:rFonts w:ascii="Calibri" w:eastAsia="Calibri" w:hAnsi="Calibri" w:cs="Times New Roman"/>
      <w:lang w:val="ru-RU"/>
    </w:rPr>
  </w:style>
  <w:style w:type="character" w:styleId="a8">
    <w:name w:val="Hyperlink"/>
    <w:basedOn w:val="a0"/>
    <w:uiPriority w:val="99"/>
    <w:unhideWhenUsed/>
    <w:rsid w:val="00A904CA"/>
    <w:rPr>
      <w:color w:val="0563C1" w:themeColor="hyperlink"/>
      <w:u w:val="single"/>
    </w:rPr>
  </w:style>
  <w:style w:type="table" w:customStyle="1" w:styleId="TableNormal">
    <w:name w:val="Table Normal"/>
    <w:uiPriority w:val="2"/>
    <w:semiHidden/>
    <w:unhideWhenUsed/>
    <w:qFormat/>
    <w:rsid w:val="00314F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4F8E"/>
    <w:pPr>
      <w:widowControl w:val="0"/>
      <w:autoSpaceDE w:val="0"/>
      <w:autoSpaceDN w:val="0"/>
      <w:spacing w:after="0" w:line="240" w:lineRule="auto"/>
      <w:ind w:left="118"/>
    </w:pPr>
    <w:rPr>
      <w:rFonts w:ascii="Cambria Math" w:eastAsia="Cambria Math" w:hAnsi="Cambria Math" w:cs="Cambria Math"/>
      <w:lang w:val="kk-KZ"/>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555DF4"/>
    <w:rPr>
      <w:rFonts w:ascii="Cambria Math" w:eastAsia="Cambria Math" w:hAnsi="Cambria Math" w:cs="Cambria Math"/>
      <w:lang w:val="kk-KZ"/>
    </w:rPr>
  </w:style>
  <w:style w:type="character" w:customStyle="1" w:styleId="10">
    <w:name w:val="Заголовок 1 Знак"/>
    <w:basedOn w:val="a0"/>
    <w:link w:val="1"/>
    <w:uiPriority w:val="9"/>
    <w:rsid w:val="0098596C"/>
    <w:rPr>
      <w:rFonts w:ascii="Times New Roman" w:eastAsia="Times New Roman" w:hAnsi="Times New Roman" w:cs="Times New Roman"/>
      <w:b/>
      <w:bCs/>
      <w:sz w:val="28"/>
      <w:szCs w:val="28"/>
      <w:lang w:val="kk-KZ"/>
    </w:rPr>
  </w:style>
  <w:style w:type="table" w:styleId="a9">
    <w:name w:val="Table Grid"/>
    <w:basedOn w:val="a1"/>
    <w:uiPriority w:val="39"/>
    <w:rsid w:val="00985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met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ibrary.kaznu.kz/ru/%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search-journal.org/" TargetMode="External"/><Relationship Id="rId4" Type="http://schemas.openxmlformats.org/officeDocument/2006/relationships/webSettings" Target="webSettings.xml"/><Relationship Id="rId9"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Диас Суюнбай</cp:lastModifiedBy>
  <cp:revision>5</cp:revision>
  <dcterms:created xsi:type="dcterms:W3CDTF">2023-10-20T16:52:00Z</dcterms:created>
  <dcterms:modified xsi:type="dcterms:W3CDTF">2023-10-20T16:54:00Z</dcterms:modified>
</cp:coreProperties>
</file>